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rPr>
      </w:pPr>
    </w:p>
    <w:p>
      <w:pPr>
        <w:rPr>
          <w:rFonts w:ascii="Times New Roman"/>
        </w:rPr>
      </w:pPr>
    </w:p>
    <w:p>
      <w:pPr>
        <w:spacing w:line="900" w:lineRule="exact"/>
        <w:jc w:val="center"/>
        <w:rPr>
          <w:rFonts w:ascii="Times New Roman" w:eastAsia="方正小标宋简体"/>
          <w:b/>
          <w:sz w:val="52"/>
          <w:szCs w:val="52"/>
        </w:rPr>
      </w:pPr>
      <w:r>
        <w:rPr>
          <w:rFonts w:ascii="Times New Roman" w:eastAsia="方正小标宋简体"/>
          <w:b/>
          <w:sz w:val="52"/>
          <w:szCs w:val="52"/>
        </w:rPr>
        <w:t>新疆</w:t>
      </w:r>
      <w:r>
        <w:rPr>
          <w:rFonts w:hint="eastAsia" w:ascii="Times New Roman" w:eastAsia="方正小标宋简体"/>
          <w:b/>
          <w:sz w:val="52"/>
          <w:szCs w:val="52"/>
        </w:rPr>
        <w:t>维吾尔自治区</w:t>
      </w:r>
    </w:p>
    <w:p>
      <w:pPr>
        <w:spacing w:line="900" w:lineRule="exact"/>
        <w:jc w:val="center"/>
        <w:rPr>
          <w:rFonts w:ascii="Times New Roman" w:eastAsia="方正小标宋简体"/>
          <w:b/>
          <w:sz w:val="52"/>
          <w:szCs w:val="52"/>
        </w:rPr>
      </w:pPr>
      <w:r>
        <w:rPr>
          <w:rFonts w:ascii="Times New Roman" w:eastAsia="方正小标宋简体"/>
          <w:b/>
          <w:sz w:val="52"/>
          <w:szCs w:val="52"/>
        </w:rPr>
        <w:t>伊宁县矿产资源总体规划</w:t>
      </w:r>
    </w:p>
    <w:p>
      <w:pPr>
        <w:jc w:val="center"/>
        <w:rPr>
          <w:rFonts w:ascii="Times New Roman"/>
          <w:b/>
          <w:sz w:val="52"/>
          <w:szCs w:val="44"/>
        </w:rPr>
      </w:pPr>
      <w:r>
        <w:rPr>
          <w:rFonts w:ascii="Times New Roman"/>
          <w:b/>
          <w:sz w:val="52"/>
          <w:szCs w:val="44"/>
        </w:rPr>
        <w:t>（</w:t>
      </w:r>
      <w:r>
        <w:rPr>
          <w:rFonts w:ascii="Times New Roman"/>
          <w:sz w:val="52"/>
          <w:szCs w:val="44"/>
        </w:rPr>
        <w:t>2021-2025</w:t>
      </w:r>
      <w:r>
        <w:rPr>
          <w:rFonts w:ascii="Times New Roman"/>
          <w:b/>
          <w:sz w:val="52"/>
          <w:szCs w:val="44"/>
        </w:rPr>
        <w:t>年）</w:t>
      </w:r>
    </w:p>
    <w:p>
      <w:pPr>
        <w:jc w:val="center"/>
        <w:rPr>
          <w:rFonts w:ascii="Times New Roman"/>
          <w:b/>
          <w:sz w:val="52"/>
          <w:szCs w:val="44"/>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jc w:val="center"/>
        <w:rPr>
          <w:rFonts w:ascii="Times New Roman"/>
          <w:szCs w:val="28"/>
        </w:rPr>
      </w:pPr>
    </w:p>
    <w:p>
      <w:pPr>
        <w:spacing w:line="480" w:lineRule="auto"/>
        <w:jc w:val="center"/>
        <w:rPr>
          <w:rFonts w:ascii="Times New Roman"/>
          <w:b/>
          <w:szCs w:val="28"/>
        </w:rPr>
      </w:pPr>
    </w:p>
    <w:p>
      <w:pPr>
        <w:spacing w:line="480" w:lineRule="auto"/>
        <w:jc w:val="center"/>
        <w:rPr>
          <w:rFonts w:ascii="Times New Roman"/>
          <w:b/>
          <w:sz w:val="18"/>
          <w:szCs w:val="18"/>
        </w:rPr>
      </w:pPr>
    </w:p>
    <w:p>
      <w:pPr>
        <w:spacing w:line="900" w:lineRule="exact"/>
        <w:jc w:val="center"/>
        <w:rPr>
          <w:rFonts w:ascii="Times New Roman" w:eastAsia="方正小标宋简体"/>
          <w:b/>
          <w:sz w:val="36"/>
          <w:szCs w:val="52"/>
        </w:rPr>
      </w:pPr>
      <w:r>
        <w:rPr>
          <w:rFonts w:ascii="Times New Roman" w:eastAsia="方正小标宋简体"/>
          <w:b/>
          <w:sz w:val="36"/>
          <w:szCs w:val="52"/>
        </w:rPr>
        <w:t>伊宁县人民政府</w:t>
      </w:r>
    </w:p>
    <w:p>
      <w:pPr>
        <w:spacing w:line="900" w:lineRule="exact"/>
        <w:jc w:val="center"/>
        <w:rPr>
          <w:rFonts w:ascii="Times New Roman" w:eastAsia="方正小标宋简体"/>
          <w:b/>
          <w:sz w:val="36"/>
          <w:szCs w:val="36"/>
        </w:rPr>
      </w:pPr>
      <w:r>
        <w:rPr>
          <w:rFonts w:hint="eastAsia" w:ascii="Times New Roman" w:eastAsia="方正小标宋简体"/>
          <w:b/>
          <w:sz w:val="36"/>
          <w:szCs w:val="36"/>
        </w:rPr>
        <w:t>2</w:t>
      </w:r>
      <w:r>
        <w:rPr>
          <w:rFonts w:ascii="Times New Roman" w:eastAsia="方正小标宋简体"/>
          <w:b/>
          <w:sz w:val="36"/>
          <w:szCs w:val="36"/>
        </w:rPr>
        <w:t>023年4月</w:t>
      </w:r>
    </w:p>
    <w:p>
      <w:pPr>
        <w:jc w:val="center"/>
        <w:rPr>
          <w:rFonts w:ascii="Times New Roman"/>
          <w:szCs w:val="28"/>
        </w:rPr>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2098" w:right="1474" w:bottom="1985" w:left="1588" w:header="851" w:footer="851" w:gutter="0"/>
          <w:pgNumType w:start="1"/>
          <w:cols w:space="720" w:num="1"/>
          <w:titlePg/>
          <w:docGrid w:linePitch="312" w:charSpace="0"/>
        </w:sectPr>
      </w:pPr>
    </w:p>
    <w:p>
      <w:pPr>
        <w:pStyle w:val="109"/>
        <w:spacing w:line="440" w:lineRule="exact"/>
        <w:ind w:firstLine="799"/>
        <w:jc w:val="center"/>
        <w:rPr>
          <w:rFonts w:ascii="Times New Roman"/>
          <w:sz w:val="36"/>
        </w:rPr>
      </w:pPr>
      <w:bookmarkStart w:id="0" w:name="_Toc217196763"/>
      <w:bookmarkStart w:id="1" w:name="_Toc234216061"/>
      <w:bookmarkStart w:id="2" w:name="_Toc212878247"/>
      <w:bookmarkStart w:id="3" w:name="_Toc212892906"/>
      <w:bookmarkStart w:id="4" w:name="_Toc217195524"/>
      <w:bookmarkStart w:id="5" w:name="_Toc234992676"/>
      <w:bookmarkStart w:id="6" w:name="_Toc234215251"/>
      <w:bookmarkStart w:id="7" w:name="_Toc217191206"/>
      <w:bookmarkStart w:id="8" w:name="_Toc212897723"/>
      <w:bookmarkStart w:id="9" w:name="_Toc212892977"/>
      <w:bookmarkStart w:id="10" w:name="_Toc235101158"/>
      <w:r>
        <w:rPr>
          <w:rFonts w:ascii="Times New Roman"/>
          <w:sz w:val="36"/>
          <w:lang w:val="zh-CN"/>
        </w:rPr>
        <w:t>目录</w:t>
      </w:r>
    </w:p>
    <w:p>
      <w:pPr>
        <w:pStyle w:val="27"/>
        <w:tabs>
          <w:tab w:val="right" w:leader="dot" w:pos="8835"/>
        </w:tabs>
        <w:spacing w:line="440" w:lineRule="exact"/>
        <w:ind w:left="0" w:leftChars="0"/>
        <w:rPr>
          <w:rFonts w:asciiTheme="minorHAnsi" w:hAnsiTheme="minorHAnsi" w:eastAsiaTheme="minorEastAsia" w:cstheme="minorBidi"/>
          <w:snapToGrid/>
          <w:spacing w:val="0"/>
          <w:kern w:val="2"/>
          <w:sz w:val="21"/>
          <w:szCs w:val="22"/>
        </w:rPr>
      </w:pPr>
      <w:r>
        <w:rPr>
          <w:rFonts w:ascii="楷体" w:hAnsi="楷体" w:eastAsia="楷体"/>
          <w:snapToGrid/>
          <w:spacing w:val="0"/>
          <w:kern w:val="2"/>
          <w:szCs w:val="28"/>
        </w:rPr>
        <w:fldChar w:fldCharType="begin"/>
      </w:r>
      <w:r>
        <w:rPr>
          <w:rFonts w:ascii="楷体" w:hAnsi="楷体" w:eastAsia="楷体"/>
          <w:szCs w:val="28"/>
        </w:rPr>
        <w:instrText xml:space="preserve"> TOC \o "1-3" \h \z \u </w:instrText>
      </w:r>
      <w:r>
        <w:rPr>
          <w:rFonts w:ascii="楷体" w:hAnsi="楷体" w:eastAsia="楷体"/>
          <w:snapToGrid/>
          <w:spacing w:val="0"/>
          <w:kern w:val="2"/>
          <w:szCs w:val="28"/>
        </w:rPr>
        <w:fldChar w:fldCharType="separate"/>
      </w:r>
      <w:r>
        <w:fldChar w:fldCharType="begin"/>
      </w:r>
      <w:r>
        <w:instrText xml:space="preserve"> HYPERLINK \l "_Toc130413598" </w:instrText>
      </w:r>
      <w:r>
        <w:fldChar w:fldCharType="separate"/>
      </w:r>
      <w:r>
        <w:rPr>
          <w:rStyle w:val="42"/>
          <w:rFonts w:ascii="Times New Roman" w:eastAsia="黑体"/>
          <w:bCs/>
        </w:rPr>
        <w:t>一、现状与形势</w:t>
      </w:r>
      <w:bookmarkStart w:id="80" w:name="_GoBack"/>
      <w:bookmarkEnd w:id="80"/>
      <w:r>
        <w:tab/>
      </w:r>
      <w:r>
        <w:fldChar w:fldCharType="begin"/>
      </w:r>
      <w:r>
        <w:instrText xml:space="preserve"> PAGEREF _Toc130413598 \h </w:instrText>
      </w:r>
      <w:r>
        <w:fldChar w:fldCharType="separate"/>
      </w:r>
      <w:r>
        <w:t>1</w:t>
      </w:r>
      <w:r>
        <w:fldChar w:fldCharType="end"/>
      </w:r>
      <w: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"_Toc130413599" </w:instrText>
      </w:r>
      <w:r>
        <w:fldChar w:fldCharType="separate"/>
      </w:r>
      <w:r>
        <w:rPr>
          <w:rStyle w:val="42"/>
          <w:rFonts w:ascii="仿宋" w:hAnsi="仿宋"/>
        </w:rPr>
        <w:t>（一）矿产资源及勘查、开发现状</w:t>
      </w:r>
      <w:r>
        <w:rPr>
          <w:rFonts w:ascii="仿宋" w:hAnsi="仿宋"/>
        </w:rPr>
        <w:tab/>
      </w:r>
      <w:r>
        <w:rPr>
          <w:rFonts w:ascii="仿宋" w:hAnsi="仿宋"/>
        </w:rPr>
        <w:fldChar w:fldCharType="begin"/>
      </w:r>
      <w:r>
        <w:rPr>
          <w:rFonts w:ascii="仿宋" w:hAnsi="仿宋"/>
        </w:rPr>
        <w:instrText xml:space="preserve"> PAGEREF _Toc130413599 \h </w:instrText>
      </w:r>
      <w:r>
        <w:rPr>
          <w:rFonts w:ascii="仿宋" w:hAnsi="仿宋"/>
        </w:rPr>
        <w:fldChar w:fldCharType="separate"/>
      </w:r>
      <w:r>
        <w:rPr>
          <w:rFonts w:ascii="仿宋" w:hAnsi="仿宋"/>
        </w:rPr>
        <w:t>1</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"_Toc130413600" </w:instrText>
      </w:r>
      <w:r>
        <w:fldChar w:fldCharType="separate"/>
      </w:r>
      <w:r>
        <w:rPr>
          <w:rStyle w:val="42"/>
          <w:rFonts w:ascii="仿宋" w:hAnsi="仿宋"/>
        </w:rPr>
        <w:t>（二）“十三五”取得成效</w:t>
      </w:r>
      <w:r>
        <w:rPr>
          <w:rFonts w:ascii="仿宋" w:hAnsi="仿宋"/>
        </w:rPr>
        <w:tab/>
      </w:r>
      <w:r>
        <w:rPr>
          <w:rFonts w:ascii="仿宋" w:hAnsi="仿宋"/>
        </w:rPr>
        <w:fldChar w:fldCharType="begin"/>
      </w:r>
      <w:r>
        <w:rPr>
          <w:rFonts w:ascii="仿宋" w:hAnsi="仿宋"/>
        </w:rPr>
        <w:instrText xml:space="preserve"> PAGEREF _Toc130413600 \h </w:instrText>
      </w:r>
      <w:r>
        <w:rPr>
          <w:rFonts w:ascii="仿宋" w:hAnsi="仿宋"/>
        </w:rPr>
        <w:fldChar w:fldCharType="separate"/>
      </w:r>
      <w:r>
        <w:rPr>
          <w:rFonts w:ascii="仿宋" w:hAnsi="仿宋"/>
        </w:rPr>
        <w:t>5</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"_Toc130413601" </w:instrText>
      </w:r>
      <w:r>
        <w:fldChar w:fldCharType="separate"/>
      </w:r>
      <w:r>
        <w:rPr>
          <w:rStyle w:val="42"/>
          <w:rFonts w:ascii="仿宋" w:hAnsi="仿宋"/>
        </w:rPr>
        <w:t>（三）存在问题</w:t>
      </w:r>
      <w:r>
        <w:rPr>
          <w:rFonts w:ascii="仿宋" w:hAnsi="仿宋"/>
        </w:rPr>
        <w:tab/>
      </w:r>
      <w:r>
        <w:rPr>
          <w:rFonts w:ascii="仿宋" w:hAnsi="仿宋"/>
        </w:rPr>
        <w:fldChar w:fldCharType="begin"/>
      </w:r>
      <w:r>
        <w:rPr>
          <w:rFonts w:ascii="仿宋" w:hAnsi="仿宋"/>
        </w:rPr>
        <w:instrText xml:space="preserve"> PAGEREF _Toc130413601 \h </w:instrText>
      </w:r>
      <w:r>
        <w:rPr>
          <w:rFonts w:ascii="仿宋" w:hAnsi="仿宋"/>
        </w:rPr>
        <w:fldChar w:fldCharType="separate"/>
      </w:r>
      <w:r>
        <w:rPr>
          <w:rFonts w:ascii="仿宋" w:hAnsi="仿宋"/>
        </w:rPr>
        <w:t>8</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"_Toc130413602" </w:instrText>
      </w:r>
      <w:r>
        <w:fldChar w:fldCharType="separate"/>
      </w:r>
      <w:r>
        <w:rPr>
          <w:rStyle w:val="42"/>
          <w:rFonts w:ascii="仿宋" w:hAnsi="仿宋"/>
        </w:rPr>
        <w:t>（四）形势及要求</w:t>
      </w:r>
      <w:r>
        <w:rPr>
          <w:rFonts w:ascii="仿宋" w:hAnsi="仿宋"/>
        </w:rPr>
        <w:tab/>
      </w:r>
      <w:r>
        <w:rPr>
          <w:rFonts w:ascii="仿宋" w:hAnsi="仿宋"/>
        </w:rPr>
        <w:fldChar w:fldCharType="begin"/>
      </w:r>
      <w:r>
        <w:rPr>
          <w:rFonts w:ascii="仿宋" w:hAnsi="仿宋"/>
        </w:rPr>
        <w:instrText xml:space="preserve"> PAGEREF _Toc130413602 \h </w:instrText>
      </w:r>
      <w:r>
        <w:rPr>
          <w:rFonts w:ascii="仿宋" w:hAnsi="仿宋"/>
        </w:rPr>
        <w:fldChar w:fldCharType="separate"/>
      </w:r>
      <w:r>
        <w:rPr>
          <w:rFonts w:ascii="仿宋" w:hAnsi="仿宋"/>
        </w:rPr>
        <w:t>8</w:t>
      </w:r>
      <w:r>
        <w:rPr>
          <w:rFonts w:ascii="仿宋" w:hAnsi="仿宋"/>
        </w:rPr>
        <w:fldChar w:fldCharType="end"/>
      </w:r>
      <w:r>
        <w:rPr>
          <w:rFonts w:ascii="仿宋" w:hAnsi="仿宋"/>
        </w:rPr>
        <w:fldChar w:fldCharType="end"/>
      </w:r>
    </w:p>
    <w:p>
      <w:pPr>
        <w:pStyle w:val="24"/>
        <w:tabs>
          <w:tab w:val="right" w:leader="dot" w:pos="8835"/>
        </w:tabs>
        <w:spacing w:line="440" w:lineRule="exact"/>
        <w:rPr>
          <w:rFonts w:asciiTheme="minorHAnsi" w:hAnsiTheme="minorHAnsi" w:eastAsiaTheme="minorEastAsia" w:cstheme="minorBidi"/>
          <w:snapToGrid/>
          <w:spacing w:val="0"/>
          <w:kern w:val="2"/>
          <w:sz w:val="21"/>
          <w:szCs w:val="22"/>
        </w:rPr>
      </w:pPr>
      <w:r>
        <w:fldChar w:fldCharType="begin"/>
      </w:r>
      <w:r>
        <w:instrText xml:space="preserve"> HYPERLINK \l "_Toc130413603" </w:instrText>
      </w:r>
      <w:r>
        <w:fldChar w:fldCharType="separate"/>
      </w:r>
      <w:r>
        <w:rPr>
          <w:rStyle w:val="42"/>
          <w:rFonts w:ascii="Times New Roman" w:eastAsia="黑体"/>
          <w:bCs/>
        </w:rPr>
        <w:t>二、指导思想与目标</w:t>
      </w:r>
      <w:r>
        <w:tab/>
      </w:r>
      <w:r>
        <w:fldChar w:fldCharType="begin"/>
      </w:r>
      <w:r>
        <w:instrText xml:space="preserve"> PAGEREF _Toc130413603 \h </w:instrText>
      </w:r>
      <w:r>
        <w:fldChar w:fldCharType="separate"/>
      </w:r>
      <w:r>
        <w:t>11</w:t>
      </w:r>
      <w:r>
        <w:fldChar w:fldCharType="end"/>
      </w:r>
      <w: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"_Toc130413604" </w:instrText>
      </w:r>
      <w:r>
        <w:fldChar w:fldCharType="separate"/>
      </w:r>
      <w:r>
        <w:rPr>
          <w:rStyle w:val="42"/>
          <w:rFonts w:ascii="仿宋" w:hAnsi="仿宋"/>
        </w:rPr>
        <w:t>（一）指导思想</w:t>
      </w:r>
      <w:r>
        <w:rPr>
          <w:rFonts w:ascii="仿宋" w:hAnsi="仿宋"/>
        </w:rPr>
        <w:tab/>
      </w:r>
      <w:r>
        <w:rPr>
          <w:rFonts w:ascii="仿宋" w:hAnsi="仿宋"/>
        </w:rPr>
        <w:fldChar w:fldCharType="begin"/>
      </w:r>
      <w:r>
        <w:rPr>
          <w:rFonts w:ascii="仿宋" w:hAnsi="仿宋"/>
        </w:rPr>
        <w:instrText xml:space="preserve"> PAGEREF _Toc130413604 \h </w:instrText>
      </w:r>
      <w:r>
        <w:rPr>
          <w:rFonts w:ascii="仿宋" w:hAnsi="仿宋"/>
        </w:rPr>
        <w:fldChar w:fldCharType="separate"/>
      </w:r>
      <w:r>
        <w:rPr>
          <w:rFonts w:ascii="仿宋" w:hAnsi="仿宋"/>
        </w:rPr>
        <w:t>11</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"_Toc130413605" </w:instrText>
      </w:r>
      <w:r>
        <w:fldChar w:fldCharType="separate"/>
      </w:r>
      <w:r>
        <w:rPr>
          <w:rStyle w:val="42"/>
          <w:rFonts w:ascii="仿宋" w:hAnsi="仿宋"/>
        </w:rPr>
        <w:t>（二）基本原则</w:t>
      </w:r>
      <w:r>
        <w:rPr>
          <w:rFonts w:ascii="仿宋" w:hAnsi="仿宋"/>
        </w:rPr>
        <w:tab/>
      </w:r>
      <w:r>
        <w:rPr>
          <w:rFonts w:ascii="仿宋" w:hAnsi="仿宋"/>
        </w:rPr>
        <w:fldChar w:fldCharType="begin"/>
      </w:r>
      <w:r>
        <w:rPr>
          <w:rFonts w:ascii="仿宋" w:hAnsi="仿宋"/>
        </w:rPr>
        <w:instrText xml:space="preserve"> PAGEREF _Toc130413605 \h </w:instrText>
      </w:r>
      <w:r>
        <w:rPr>
          <w:rFonts w:ascii="仿宋" w:hAnsi="仿宋"/>
        </w:rPr>
        <w:fldChar w:fldCharType="separate"/>
      </w:r>
      <w:r>
        <w:rPr>
          <w:rFonts w:ascii="仿宋" w:hAnsi="仿宋"/>
        </w:rPr>
        <w:t>11</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"_Toc130413606" </w:instrText>
      </w:r>
      <w:r>
        <w:fldChar w:fldCharType="separate"/>
      </w:r>
      <w:r>
        <w:rPr>
          <w:rStyle w:val="42"/>
          <w:rFonts w:ascii="仿宋" w:hAnsi="仿宋"/>
        </w:rPr>
        <w:t>（三）规划主要目标</w:t>
      </w:r>
      <w:r>
        <w:rPr>
          <w:rFonts w:ascii="仿宋" w:hAnsi="仿宋"/>
        </w:rPr>
        <w:tab/>
      </w:r>
      <w:r>
        <w:rPr>
          <w:rFonts w:ascii="仿宋" w:hAnsi="仿宋"/>
        </w:rPr>
        <w:fldChar w:fldCharType="begin"/>
      </w:r>
      <w:r>
        <w:rPr>
          <w:rFonts w:ascii="仿宋" w:hAnsi="仿宋"/>
        </w:rPr>
        <w:instrText xml:space="preserve"> PAGEREF _Toc130413606 \h </w:instrText>
      </w:r>
      <w:r>
        <w:rPr>
          <w:rFonts w:ascii="仿宋" w:hAnsi="仿宋"/>
        </w:rPr>
        <w:fldChar w:fldCharType="separate"/>
      </w:r>
      <w:r>
        <w:rPr>
          <w:rFonts w:ascii="仿宋" w:hAnsi="仿宋"/>
        </w:rPr>
        <w:t>13</w:t>
      </w:r>
      <w:r>
        <w:rPr>
          <w:rFonts w:ascii="仿宋" w:hAnsi="仿宋"/>
        </w:rPr>
        <w:fldChar w:fldCharType="end"/>
      </w:r>
      <w:r>
        <w:rPr>
          <w:rFonts w:ascii="仿宋" w:hAnsi="仿宋"/>
        </w:rPr>
        <w:fldChar w:fldCharType="end"/>
      </w:r>
    </w:p>
    <w:p>
      <w:pPr>
        <w:pStyle w:val="24"/>
        <w:tabs>
          <w:tab w:val="right" w:leader="dot" w:pos="8835"/>
        </w:tabs>
        <w:spacing w:line="440" w:lineRule="exact"/>
        <w:rPr>
          <w:rFonts w:asciiTheme="minorHAnsi" w:hAnsiTheme="minorHAnsi" w:eastAsiaTheme="minorEastAsia" w:cstheme="minorBidi"/>
          <w:snapToGrid/>
          <w:spacing w:val="0"/>
          <w:kern w:val="2"/>
          <w:sz w:val="21"/>
          <w:szCs w:val="22"/>
        </w:rPr>
      </w:pPr>
      <w:r>
        <w:fldChar w:fldCharType="begin"/>
      </w:r>
      <w:r>
        <w:instrText xml:space="preserve"> HYPERLINK \l "_Toc130413607" </w:instrText>
      </w:r>
      <w:r>
        <w:fldChar w:fldCharType="separate"/>
      </w:r>
      <w:r>
        <w:rPr>
          <w:rStyle w:val="42"/>
          <w:rFonts w:ascii="Times New Roman" w:eastAsia="黑体"/>
          <w:bCs/>
        </w:rPr>
        <w:t>三、矿产勘查开发与保护布局</w:t>
      </w:r>
      <w:r>
        <w:tab/>
      </w:r>
      <w:r>
        <w:fldChar w:fldCharType="begin"/>
      </w:r>
      <w:r>
        <w:instrText xml:space="preserve"> PAGEREF _Toc130413607 \h </w:instrText>
      </w:r>
      <w:r>
        <w:fldChar w:fldCharType="separate"/>
      </w:r>
      <w:r>
        <w:t>18</w:t>
      </w:r>
      <w:r>
        <w:fldChar w:fldCharType="end"/>
      </w:r>
      <w: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"_Toc130413608" </w:instrText>
      </w:r>
      <w:r>
        <w:fldChar w:fldCharType="separate"/>
      </w:r>
      <w:r>
        <w:rPr>
          <w:rStyle w:val="42"/>
          <w:rFonts w:ascii="仿宋" w:hAnsi="仿宋"/>
        </w:rPr>
        <w:t>（一）矿产资源勘查开采调控方向</w:t>
      </w:r>
      <w:r>
        <w:rPr>
          <w:rFonts w:ascii="仿宋" w:hAnsi="仿宋"/>
        </w:rPr>
        <w:tab/>
      </w:r>
      <w:r>
        <w:rPr>
          <w:rFonts w:ascii="仿宋" w:hAnsi="仿宋"/>
        </w:rPr>
        <w:fldChar w:fldCharType="begin"/>
      </w:r>
      <w:r>
        <w:rPr>
          <w:rFonts w:ascii="仿宋" w:hAnsi="仿宋"/>
        </w:rPr>
        <w:instrText xml:space="preserve"> PAGEREF _Toc130413608 \h </w:instrText>
      </w:r>
      <w:r>
        <w:rPr>
          <w:rFonts w:ascii="仿宋" w:hAnsi="仿宋"/>
        </w:rPr>
        <w:fldChar w:fldCharType="separate"/>
      </w:r>
      <w:r>
        <w:rPr>
          <w:rFonts w:ascii="仿宋" w:hAnsi="仿宋"/>
        </w:rPr>
        <w:t>18</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"_Toc130413609" </w:instrText>
      </w:r>
      <w:r>
        <w:fldChar w:fldCharType="separate"/>
      </w:r>
      <w:r>
        <w:rPr>
          <w:rStyle w:val="42"/>
          <w:rFonts w:ascii="仿宋" w:hAnsi="仿宋"/>
        </w:rPr>
        <w:t>（二）矿产资源产业重点发展区域</w:t>
      </w:r>
      <w:r>
        <w:rPr>
          <w:rFonts w:ascii="仿宋" w:hAnsi="仿宋"/>
        </w:rPr>
        <w:tab/>
      </w:r>
      <w:r>
        <w:rPr>
          <w:rFonts w:ascii="仿宋" w:hAnsi="仿宋"/>
        </w:rPr>
        <w:fldChar w:fldCharType="begin"/>
      </w:r>
      <w:r>
        <w:rPr>
          <w:rFonts w:ascii="仿宋" w:hAnsi="仿宋"/>
        </w:rPr>
        <w:instrText xml:space="preserve"> PAGEREF _Toc130413609 \h </w:instrText>
      </w:r>
      <w:r>
        <w:rPr>
          <w:rFonts w:ascii="仿宋" w:hAnsi="仿宋"/>
        </w:rPr>
        <w:fldChar w:fldCharType="separate"/>
      </w:r>
      <w:r>
        <w:rPr>
          <w:rFonts w:ascii="仿宋" w:hAnsi="仿宋"/>
        </w:rPr>
        <w:t>18</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"_Toc130413610" </w:instrText>
      </w:r>
      <w:r>
        <w:fldChar w:fldCharType="separate"/>
      </w:r>
      <w:r>
        <w:rPr>
          <w:rStyle w:val="42"/>
          <w:rFonts w:ascii="仿宋" w:hAnsi="仿宋"/>
        </w:rPr>
        <w:t>（三）勘查开采与保护布局</w:t>
      </w:r>
      <w:r>
        <w:rPr>
          <w:rFonts w:ascii="仿宋" w:hAnsi="仿宋"/>
        </w:rPr>
        <w:tab/>
      </w:r>
      <w:r>
        <w:rPr>
          <w:rFonts w:ascii="仿宋" w:hAnsi="仿宋"/>
        </w:rPr>
        <w:fldChar w:fldCharType="begin"/>
      </w:r>
      <w:r>
        <w:rPr>
          <w:rFonts w:ascii="仿宋" w:hAnsi="仿宋"/>
        </w:rPr>
        <w:instrText xml:space="preserve"> PAGEREF _Toc130413610 \h </w:instrText>
      </w:r>
      <w:r>
        <w:rPr>
          <w:rFonts w:ascii="仿宋" w:hAnsi="仿宋"/>
        </w:rPr>
        <w:fldChar w:fldCharType="separate"/>
      </w:r>
      <w:r>
        <w:rPr>
          <w:rFonts w:ascii="仿宋" w:hAnsi="仿宋"/>
        </w:rPr>
        <w:t>19</w:t>
      </w:r>
      <w:r>
        <w:rPr>
          <w:rFonts w:ascii="仿宋" w:hAnsi="仿宋"/>
        </w:rPr>
        <w:fldChar w:fldCharType="end"/>
      </w:r>
      <w:r>
        <w:rPr>
          <w:rFonts w:ascii="仿宋" w:hAnsi="仿宋"/>
        </w:rPr>
        <w:fldChar w:fldCharType="end"/>
      </w:r>
    </w:p>
    <w:p>
      <w:pPr>
        <w:pStyle w:val="24"/>
        <w:tabs>
          <w:tab w:val="right" w:leader="dot" w:pos="8835"/>
        </w:tabs>
        <w:spacing w:line="440" w:lineRule="exact"/>
        <w:rPr>
          <w:rFonts w:asciiTheme="minorHAnsi" w:hAnsiTheme="minorHAnsi" w:eastAsiaTheme="minorEastAsia" w:cstheme="minorBidi"/>
          <w:snapToGrid/>
          <w:spacing w:val="0"/>
          <w:kern w:val="2"/>
          <w:sz w:val="21"/>
          <w:szCs w:val="22"/>
        </w:rPr>
      </w:pPr>
      <w:r>
        <w:fldChar w:fldCharType="begin"/>
      </w:r>
      <w:r>
        <w:instrText xml:space="preserve"> HYPERLINK \l "_Toc130413611" </w:instrText>
      </w:r>
      <w:r>
        <w:fldChar w:fldCharType="separate"/>
      </w:r>
      <w:r>
        <w:rPr>
          <w:rStyle w:val="42"/>
          <w:rFonts w:ascii="黑体" w:hAnsi="黑体" w:eastAsia="黑体"/>
        </w:rPr>
        <w:t>四、加强矿产资源勘查开发利用与保护</w:t>
      </w:r>
      <w:r>
        <w:tab/>
      </w:r>
      <w:r>
        <w:fldChar w:fldCharType="begin"/>
      </w:r>
      <w:r>
        <w:instrText xml:space="preserve"> PAGEREF _Toc130413611 \h </w:instrText>
      </w:r>
      <w:r>
        <w:fldChar w:fldCharType="separate"/>
      </w:r>
      <w:r>
        <w:t>24</w:t>
      </w:r>
      <w:r>
        <w:fldChar w:fldCharType="end"/>
      </w:r>
      <w: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"_Toc130413612" </w:instrText>
      </w:r>
      <w:r>
        <w:fldChar w:fldCharType="separate"/>
      </w:r>
      <w:r>
        <w:rPr>
          <w:rStyle w:val="42"/>
          <w:rFonts w:ascii="仿宋" w:hAnsi="仿宋"/>
        </w:rPr>
        <w:t>（一）强化矿产资源勘查管理</w:t>
      </w:r>
      <w:r>
        <w:rPr>
          <w:rFonts w:ascii="仿宋" w:hAnsi="仿宋"/>
        </w:rPr>
        <w:tab/>
      </w:r>
      <w:r>
        <w:rPr>
          <w:rFonts w:ascii="仿宋" w:hAnsi="仿宋"/>
        </w:rPr>
        <w:fldChar w:fldCharType="begin"/>
      </w:r>
      <w:r>
        <w:rPr>
          <w:rFonts w:ascii="仿宋" w:hAnsi="仿宋"/>
        </w:rPr>
        <w:instrText xml:space="preserve"> PAGEREF _Toc130413612 \h </w:instrText>
      </w:r>
      <w:r>
        <w:rPr>
          <w:rFonts w:ascii="仿宋" w:hAnsi="仿宋"/>
        </w:rPr>
        <w:fldChar w:fldCharType="separate"/>
      </w:r>
      <w:r>
        <w:rPr>
          <w:rFonts w:ascii="仿宋" w:hAnsi="仿宋"/>
        </w:rPr>
        <w:t>24</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"_Toc130413613" </w:instrText>
      </w:r>
      <w:r>
        <w:fldChar w:fldCharType="separate"/>
      </w:r>
      <w:r>
        <w:rPr>
          <w:rStyle w:val="42"/>
          <w:rFonts w:ascii="仿宋" w:hAnsi="仿宋"/>
        </w:rPr>
        <w:t>（二）合理确定开发强度</w:t>
      </w:r>
      <w:r>
        <w:rPr>
          <w:rFonts w:ascii="仿宋" w:hAnsi="仿宋"/>
        </w:rPr>
        <w:tab/>
      </w:r>
      <w:r>
        <w:rPr>
          <w:rFonts w:ascii="仿宋" w:hAnsi="仿宋"/>
        </w:rPr>
        <w:fldChar w:fldCharType="begin"/>
      </w:r>
      <w:r>
        <w:rPr>
          <w:rFonts w:ascii="仿宋" w:hAnsi="仿宋"/>
        </w:rPr>
        <w:instrText xml:space="preserve"> PAGEREF _Toc130413613 \h </w:instrText>
      </w:r>
      <w:r>
        <w:rPr>
          <w:rFonts w:ascii="仿宋" w:hAnsi="仿宋"/>
        </w:rPr>
        <w:fldChar w:fldCharType="separate"/>
      </w:r>
      <w:r>
        <w:rPr>
          <w:rFonts w:ascii="仿宋" w:hAnsi="仿宋"/>
        </w:rPr>
        <w:t>24</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"_Toc130413614" </w:instrText>
      </w:r>
      <w:r>
        <w:fldChar w:fldCharType="separate"/>
      </w:r>
      <w:r>
        <w:rPr>
          <w:rStyle w:val="42"/>
          <w:rFonts w:ascii="仿宋" w:hAnsi="仿宋"/>
        </w:rPr>
        <w:t>（三）优化开发利用结构</w:t>
      </w:r>
      <w:r>
        <w:rPr>
          <w:rFonts w:ascii="仿宋" w:hAnsi="仿宋"/>
        </w:rPr>
        <w:tab/>
      </w:r>
      <w:r>
        <w:rPr>
          <w:rFonts w:ascii="仿宋" w:hAnsi="仿宋"/>
        </w:rPr>
        <w:fldChar w:fldCharType="begin"/>
      </w:r>
      <w:r>
        <w:rPr>
          <w:rFonts w:ascii="仿宋" w:hAnsi="仿宋"/>
        </w:rPr>
        <w:instrText xml:space="preserve"> PAGEREF _Toc130413614 \h </w:instrText>
      </w:r>
      <w:r>
        <w:rPr>
          <w:rFonts w:ascii="仿宋" w:hAnsi="仿宋"/>
        </w:rPr>
        <w:fldChar w:fldCharType="separate"/>
      </w:r>
      <w:r>
        <w:rPr>
          <w:rFonts w:ascii="仿宋" w:hAnsi="仿宋"/>
        </w:rPr>
        <w:t>25</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"_Toc130413615" </w:instrText>
      </w:r>
      <w:r>
        <w:fldChar w:fldCharType="separate"/>
      </w:r>
      <w:r>
        <w:rPr>
          <w:rStyle w:val="42"/>
          <w:rFonts w:ascii="仿宋" w:hAnsi="仿宋"/>
        </w:rPr>
        <w:t>（四）矿产资源节约与综合利用</w:t>
      </w:r>
      <w:r>
        <w:rPr>
          <w:rFonts w:ascii="仿宋" w:hAnsi="仿宋"/>
        </w:rPr>
        <w:tab/>
      </w:r>
      <w:r>
        <w:rPr>
          <w:rFonts w:ascii="仿宋" w:hAnsi="仿宋"/>
        </w:rPr>
        <w:fldChar w:fldCharType="begin"/>
      </w:r>
      <w:r>
        <w:rPr>
          <w:rFonts w:ascii="仿宋" w:hAnsi="仿宋"/>
        </w:rPr>
        <w:instrText xml:space="preserve"> PAGEREF _Toc130413615 \h </w:instrText>
      </w:r>
      <w:r>
        <w:rPr>
          <w:rFonts w:ascii="仿宋" w:hAnsi="仿宋"/>
        </w:rPr>
        <w:fldChar w:fldCharType="separate"/>
      </w:r>
      <w:r>
        <w:rPr>
          <w:rFonts w:ascii="仿宋" w:hAnsi="仿宋"/>
        </w:rPr>
        <w:t>26</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"_Toc130413616" </w:instrText>
      </w:r>
      <w:r>
        <w:fldChar w:fldCharType="separate"/>
      </w:r>
      <w:r>
        <w:rPr>
          <w:rStyle w:val="42"/>
          <w:rFonts w:ascii="仿宋" w:hAnsi="仿宋"/>
        </w:rPr>
        <w:t>（五）开发准入退出机制</w:t>
      </w:r>
      <w:r>
        <w:rPr>
          <w:rFonts w:ascii="仿宋" w:hAnsi="仿宋"/>
        </w:rPr>
        <w:tab/>
      </w:r>
      <w:r>
        <w:rPr>
          <w:rFonts w:ascii="仿宋" w:hAnsi="仿宋"/>
        </w:rPr>
        <w:fldChar w:fldCharType="begin"/>
      </w:r>
      <w:r>
        <w:rPr>
          <w:rFonts w:ascii="仿宋" w:hAnsi="仿宋"/>
        </w:rPr>
        <w:instrText xml:space="preserve"> PAGEREF _Toc130413616 \h </w:instrText>
      </w:r>
      <w:r>
        <w:rPr>
          <w:rFonts w:ascii="仿宋" w:hAnsi="仿宋"/>
        </w:rPr>
        <w:fldChar w:fldCharType="separate"/>
      </w:r>
      <w:r>
        <w:rPr>
          <w:rFonts w:ascii="仿宋" w:hAnsi="仿宋"/>
        </w:rPr>
        <w:t>28</w:t>
      </w:r>
      <w:r>
        <w:rPr>
          <w:rFonts w:ascii="仿宋" w:hAnsi="仿宋"/>
        </w:rPr>
        <w:fldChar w:fldCharType="end"/>
      </w:r>
      <w:r>
        <w:rPr>
          <w:rFonts w:ascii="仿宋" w:hAnsi="仿宋"/>
        </w:rPr>
        <w:fldChar w:fldCharType="end"/>
      </w:r>
    </w:p>
    <w:p>
      <w:pPr>
        <w:pStyle w:val="24"/>
        <w:tabs>
          <w:tab w:val="right" w:leader="dot" w:pos="8835"/>
        </w:tabs>
        <w:spacing w:line="440" w:lineRule="exact"/>
        <w:rPr>
          <w:rFonts w:asciiTheme="minorHAnsi" w:hAnsiTheme="minorHAnsi" w:eastAsiaTheme="minorEastAsia" w:cstheme="minorBidi"/>
          <w:snapToGrid/>
          <w:spacing w:val="0"/>
          <w:kern w:val="2"/>
          <w:sz w:val="21"/>
          <w:szCs w:val="22"/>
        </w:rPr>
      </w:pPr>
      <w:r>
        <w:fldChar w:fldCharType="begin"/>
      </w:r>
      <w:r>
        <w:instrText xml:space="preserve"> HYPERLINK \l "_Toc130413617" </w:instrText>
      </w:r>
      <w:r>
        <w:fldChar w:fldCharType="separate"/>
      </w:r>
      <w:r>
        <w:rPr>
          <w:rStyle w:val="42"/>
          <w:rFonts w:ascii="Times New Roman" w:eastAsia="黑体"/>
          <w:bCs/>
        </w:rPr>
        <w:t>五、绿色矿业发展</w:t>
      </w:r>
      <w:r>
        <w:tab/>
      </w:r>
      <w:r>
        <w:fldChar w:fldCharType="begin"/>
      </w:r>
      <w:r>
        <w:instrText xml:space="preserve"> PAGEREF _Toc130413617 \h </w:instrText>
      </w:r>
      <w:r>
        <w:fldChar w:fldCharType="separate"/>
      </w:r>
      <w:r>
        <w:t>30</w:t>
      </w:r>
      <w:r>
        <w:fldChar w:fldCharType="end"/>
      </w:r>
      <w: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"_Toc130413618" </w:instrText>
      </w:r>
      <w:r>
        <w:fldChar w:fldCharType="separate"/>
      </w:r>
      <w:r>
        <w:rPr>
          <w:rStyle w:val="42"/>
          <w:rFonts w:ascii="仿宋" w:hAnsi="仿宋"/>
        </w:rPr>
        <w:t>（一）绿色勘查</w:t>
      </w:r>
      <w:r>
        <w:rPr>
          <w:rFonts w:ascii="仿宋" w:hAnsi="仿宋"/>
        </w:rPr>
        <w:tab/>
      </w:r>
      <w:r>
        <w:rPr>
          <w:rFonts w:ascii="仿宋" w:hAnsi="仿宋"/>
        </w:rPr>
        <w:fldChar w:fldCharType="begin"/>
      </w:r>
      <w:r>
        <w:rPr>
          <w:rFonts w:ascii="仿宋" w:hAnsi="仿宋"/>
        </w:rPr>
        <w:instrText xml:space="preserve"> PAGEREF _Toc130413618 \h </w:instrText>
      </w:r>
      <w:r>
        <w:rPr>
          <w:rFonts w:ascii="仿宋" w:hAnsi="仿宋"/>
        </w:rPr>
        <w:fldChar w:fldCharType="separate"/>
      </w:r>
      <w:r>
        <w:rPr>
          <w:rFonts w:ascii="仿宋" w:hAnsi="仿宋"/>
        </w:rPr>
        <w:t>30</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"_Toc130413619" </w:instrText>
      </w:r>
      <w:r>
        <w:fldChar w:fldCharType="separate"/>
      </w:r>
      <w:r>
        <w:rPr>
          <w:rStyle w:val="42"/>
          <w:rFonts w:ascii="仿宋" w:hAnsi="仿宋"/>
        </w:rPr>
        <w:t>（二）绿色矿山建设</w:t>
      </w:r>
      <w:r>
        <w:rPr>
          <w:rFonts w:ascii="仿宋" w:hAnsi="仿宋"/>
        </w:rPr>
        <w:tab/>
      </w:r>
      <w:r>
        <w:rPr>
          <w:rFonts w:ascii="仿宋" w:hAnsi="仿宋"/>
        </w:rPr>
        <w:fldChar w:fldCharType="begin"/>
      </w:r>
      <w:r>
        <w:rPr>
          <w:rFonts w:ascii="仿宋" w:hAnsi="仿宋"/>
        </w:rPr>
        <w:instrText xml:space="preserve"> PAGEREF _Toc130413619 \h </w:instrText>
      </w:r>
      <w:r>
        <w:rPr>
          <w:rFonts w:ascii="仿宋" w:hAnsi="仿宋"/>
        </w:rPr>
        <w:fldChar w:fldCharType="separate"/>
      </w:r>
      <w:r>
        <w:rPr>
          <w:rFonts w:ascii="仿宋" w:hAnsi="仿宋"/>
        </w:rPr>
        <w:t>30</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"_Toc130413620" </w:instrText>
      </w:r>
      <w:r>
        <w:fldChar w:fldCharType="separate"/>
      </w:r>
      <w:r>
        <w:rPr>
          <w:rStyle w:val="42"/>
          <w:rFonts w:ascii="仿宋" w:hAnsi="仿宋"/>
        </w:rPr>
        <w:t>（三）智能矿山</w:t>
      </w:r>
      <w:r>
        <w:rPr>
          <w:rFonts w:ascii="仿宋" w:hAnsi="仿宋"/>
        </w:rPr>
        <w:tab/>
      </w:r>
      <w:r>
        <w:rPr>
          <w:rFonts w:ascii="仿宋" w:hAnsi="仿宋"/>
        </w:rPr>
        <w:fldChar w:fldCharType="begin"/>
      </w:r>
      <w:r>
        <w:rPr>
          <w:rFonts w:ascii="仿宋" w:hAnsi="仿宋"/>
        </w:rPr>
        <w:instrText xml:space="preserve"> PAGEREF _Toc130413620 \h </w:instrText>
      </w:r>
      <w:r>
        <w:rPr>
          <w:rFonts w:ascii="仿宋" w:hAnsi="仿宋"/>
        </w:rPr>
        <w:fldChar w:fldCharType="separate"/>
      </w:r>
      <w:r>
        <w:rPr>
          <w:rFonts w:ascii="仿宋" w:hAnsi="仿宋"/>
        </w:rPr>
        <w:t>33</w:t>
      </w:r>
      <w:r>
        <w:rPr>
          <w:rFonts w:ascii="仿宋" w:hAnsi="仿宋"/>
        </w:rPr>
        <w:fldChar w:fldCharType="end"/>
      </w:r>
      <w:r>
        <w:rPr>
          <w:rFonts w:ascii="仿宋" w:hAnsi="仿宋"/>
        </w:rPr>
        <w:fldChar w:fldCharType="end"/>
      </w:r>
    </w:p>
    <w:p>
      <w:pPr>
        <w:pStyle w:val="27"/>
        <w:tabs>
          <w:tab w:val="right" w:leader="dot" w:pos="8835"/>
        </w:tabs>
        <w:spacing w:line="440" w:lineRule="exact"/>
        <w:ind w:left="568"/>
        <w:rPr>
          <w:rFonts w:ascii="仿宋" w:hAnsi="仿宋" w:cstheme="minorBidi"/>
          <w:snapToGrid/>
          <w:spacing w:val="0"/>
          <w:kern w:val="2"/>
          <w:sz w:val="21"/>
          <w:szCs w:val="22"/>
        </w:rPr>
      </w:pPr>
      <w:r>
        <w:fldChar w:fldCharType="begin"/>
      </w:r>
      <w:r>
        <w:instrText xml:space="preserve"> HYPERLINK \l "_Toc130413621" </w:instrText>
      </w:r>
      <w:r>
        <w:fldChar w:fldCharType="separate"/>
      </w:r>
      <w:r>
        <w:rPr>
          <w:rStyle w:val="42"/>
          <w:rFonts w:ascii="仿宋" w:hAnsi="仿宋"/>
        </w:rPr>
        <w:t>（四）矿山生态保护修复</w:t>
      </w:r>
      <w:r>
        <w:rPr>
          <w:rFonts w:ascii="仿宋" w:hAnsi="仿宋"/>
        </w:rPr>
        <w:tab/>
      </w:r>
      <w:r>
        <w:rPr>
          <w:rFonts w:ascii="仿宋" w:hAnsi="仿宋"/>
        </w:rPr>
        <w:fldChar w:fldCharType="begin"/>
      </w:r>
      <w:r>
        <w:rPr>
          <w:rFonts w:ascii="仿宋" w:hAnsi="仿宋"/>
        </w:rPr>
        <w:instrText xml:space="preserve"> PAGEREF _Toc130413621 \h </w:instrText>
      </w:r>
      <w:r>
        <w:rPr>
          <w:rFonts w:ascii="仿宋" w:hAnsi="仿宋"/>
        </w:rPr>
        <w:fldChar w:fldCharType="separate"/>
      </w:r>
      <w:r>
        <w:rPr>
          <w:rFonts w:ascii="仿宋" w:hAnsi="仿宋"/>
        </w:rPr>
        <w:t>33</w:t>
      </w:r>
      <w:r>
        <w:rPr>
          <w:rFonts w:ascii="仿宋" w:hAnsi="仿宋"/>
        </w:rPr>
        <w:fldChar w:fldCharType="end"/>
      </w:r>
      <w:r>
        <w:rPr>
          <w:rFonts w:ascii="仿宋" w:hAnsi="仿宋"/>
        </w:rPr>
        <w:fldChar w:fldCharType="end"/>
      </w:r>
    </w:p>
    <w:p>
      <w:pPr>
        <w:pStyle w:val="24"/>
        <w:tabs>
          <w:tab w:val="right" w:leader="dot" w:pos="8835"/>
        </w:tabs>
        <w:spacing w:line="440" w:lineRule="exact"/>
        <w:rPr>
          <w:rFonts w:asciiTheme="minorHAnsi" w:hAnsiTheme="minorHAnsi" w:eastAsiaTheme="minorEastAsia" w:cstheme="minorBidi"/>
          <w:snapToGrid/>
          <w:spacing w:val="0"/>
          <w:kern w:val="2"/>
          <w:sz w:val="21"/>
          <w:szCs w:val="22"/>
        </w:rPr>
      </w:pPr>
      <w:r>
        <w:fldChar w:fldCharType="begin"/>
      </w:r>
      <w:r>
        <w:instrText xml:space="preserve"> HYPERLINK \l "_Toc130413622" </w:instrText>
      </w:r>
      <w:r>
        <w:fldChar w:fldCharType="separate"/>
      </w:r>
      <w:r>
        <w:rPr>
          <w:rStyle w:val="42"/>
          <w:rFonts w:ascii="Times New Roman" w:eastAsia="黑体"/>
          <w:bCs/>
        </w:rPr>
        <w:t>六、重点项目</w:t>
      </w:r>
      <w:r>
        <w:tab/>
      </w:r>
      <w:r>
        <w:fldChar w:fldCharType="begin"/>
      </w:r>
      <w:r>
        <w:instrText xml:space="preserve"> PAGEREF _Toc130413622 \h </w:instrText>
      </w:r>
      <w:r>
        <w:fldChar w:fldCharType="separate"/>
      </w:r>
      <w:r>
        <w:t>36</w:t>
      </w:r>
      <w:r>
        <w:fldChar w:fldCharType="end"/>
      </w:r>
      <w:r>
        <w:fldChar w:fldCharType="end"/>
      </w:r>
    </w:p>
    <w:p>
      <w:pPr>
        <w:pStyle w:val="24"/>
        <w:tabs>
          <w:tab w:val="right" w:leader="dot" w:pos="8835"/>
        </w:tabs>
        <w:spacing w:line="440" w:lineRule="exact"/>
        <w:rPr>
          <w:rFonts w:ascii="楷体" w:hAnsi="楷体" w:eastAsia="楷体"/>
          <w:szCs w:val="28"/>
        </w:rPr>
      </w:pPr>
      <w:r>
        <w:fldChar w:fldCharType="begin"/>
      </w:r>
      <w:r>
        <w:instrText xml:space="preserve"> HYPERLINK \l "_Toc130413623" </w:instrText>
      </w:r>
      <w:r>
        <w:fldChar w:fldCharType="separate"/>
      </w:r>
      <w:r>
        <w:rPr>
          <w:rStyle w:val="42"/>
          <w:rFonts w:ascii="Times New Roman" w:eastAsia="黑体"/>
          <w:bCs/>
        </w:rPr>
        <w:t>七、规划保障措施</w:t>
      </w:r>
      <w:r>
        <w:tab/>
      </w:r>
      <w:r>
        <w:fldChar w:fldCharType="begin"/>
      </w:r>
      <w:r>
        <w:instrText xml:space="preserve"> PAGEREF _Toc130413623 \h </w:instrText>
      </w:r>
      <w:r>
        <w:fldChar w:fldCharType="separate"/>
      </w:r>
      <w:r>
        <w:t>39</w:t>
      </w:r>
      <w:r>
        <w:fldChar w:fldCharType="end"/>
      </w:r>
      <w:r>
        <w:fldChar w:fldCharType="end"/>
      </w:r>
      <w:r>
        <w:rPr>
          <w:rFonts w:ascii="楷体" w:hAnsi="楷体" w:eastAsia="楷体"/>
          <w:b/>
          <w:bCs/>
          <w:szCs w:val="28"/>
          <w:lang w:val="zh-CN"/>
        </w:rPr>
        <w:fldChar w:fldCharType="end"/>
      </w:r>
    </w:p>
    <w:p>
      <w:pPr>
        <w:spacing w:before="312" w:beforeLines="100" w:line="440" w:lineRule="exact"/>
        <w:jc w:val="center"/>
        <w:rPr>
          <w:rFonts w:ascii="黑体" w:hAnsi="黑体" w:eastAsia="黑体"/>
          <w:b/>
          <w:sz w:val="36"/>
          <w:szCs w:val="30"/>
        </w:rPr>
      </w:pPr>
      <w:r>
        <w:rPr>
          <w:rFonts w:ascii="楷体" w:hAnsi="楷体" w:eastAsia="楷体"/>
          <w:b/>
          <w:sz w:val="32"/>
          <w:szCs w:val="32"/>
        </w:rPr>
        <w:br w:type="page"/>
      </w:r>
      <w:r>
        <w:rPr>
          <w:rFonts w:ascii="黑体" w:hAnsi="黑体" w:eastAsia="黑体"/>
          <w:b/>
          <w:sz w:val="36"/>
          <w:szCs w:val="30"/>
        </w:rPr>
        <w:t>总  则</w:t>
      </w:r>
    </w:p>
    <w:p>
      <w:pPr>
        <w:widowControl/>
        <w:adjustRightInd/>
        <w:spacing w:line="560" w:lineRule="exact"/>
        <w:ind w:firstLine="656" w:firstLineChars="200"/>
        <w:rPr>
          <w:rFonts w:ascii="Times New Roman" w:eastAsia="仿宋_GB2312"/>
          <w:sz w:val="32"/>
          <w:szCs w:val="32"/>
        </w:rPr>
      </w:pPr>
      <w:r>
        <w:rPr>
          <w:rFonts w:ascii="Times New Roman" w:eastAsia="仿宋_GB2312"/>
          <w:sz w:val="32"/>
          <w:szCs w:val="32"/>
        </w:rPr>
        <w:t>矿产资源是国民经济和社会发展的重要物质基础，也是伊宁县实现现代工业化建设的重要保障。为科学合理勘查、开发利用与保护矿产资源，进一步提高矿产资源对经济社会发展的保障能力，加快矿业转型升级和绿色发展，依据《新疆维吾尔自治区矿产资源总体规划（2021-2025年）</w:t>
      </w:r>
      <w:r>
        <w:rPr>
          <w:rFonts w:hint="eastAsia" w:ascii="Times New Roman" w:eastAsia="仿宋_GB2312"/>
          <w:sz w:val="32"/>
          <w:szCs w:val="32"/>
          <w:lang w:eastAsia="zh-CN"/>
        </w:rPr>
        <w:t>》《</w:t>
      </w:r>
      <w:r>
        <w:rPr>
          <w:rFonts w:ascii="Times New Roman" w:eastAsia="仿宋_GB2312"/>
          <w:sz w:val="32"/>
          <w:szCs w:val="32"/>
        </w:rPr>
        <w:t>新疆维吾尔自治区伊犁哈萨克自治州矿产资源总体规划（2021-2025年）</w:t>
      </w:r>
      <w:r>
        <w:rPr>
          <w:rFonts w:hint="eastAsia" w:ascii="Times New Roman" w:eastAsia="仿宋_GB2312"/>
          <w:sz w:val="32"/>
          <w:szCs w:val="32"/>
          <w:lang w:eastAsia="zh-CN"/>
        </w:rPr>
        <w:t>》《</w:t>
      </w:r>
      <w:r>
        <w:rPr>
          <w:rFonts w:ascii="Times New Roman" w:eastAsia="仿宋_GB2312"/>
          <w:sz w:val="32"/>
          <w:szCs w:val="32"/>
        </w:rPr>
        <w:t>伊宁县国民经济和社会发展第十四个五年规划和二O三五年远景目标纲要</w:t>
      </w:r>
      <w:r>
        <w:rPr>
          <w:rFonts w:hint="eastAsia" w:ascii="Times New Roman" w:eastAsia="仿宋_GB2312"/>
          <w:sz w:val="32"/>
          <w:szCs w:val="32"/>
          <w:lang w:eastAsia="zh-CN"/>
        </w:rPr>
        <w:t>》《</w:t>
      </w:r>
      <w:r>
        <w:rPr>
          <w:rFonts w:hint="eastAsia" w:ascii="Times New Roman" w:eastAsia="仿宋_GB2312"/>
          <w:sz w:val="32"/>
          <w:szCs w:val="32"/>
        </w:rPr>
        <w:t>伊宁</w:t>
      </w:r>
      <w:r>
        <w:rPr>
          <w:rFonts w:ascii="Times New Roman" w:eastAsia="仿宋_GB2312"/>
          <w:sz w:val="32"/>
          <w:szCs w:val="32"/>
        </w:rPr>
        <w:t>县</w:t>
      </w:r>
      <w:r>
        <w:rPr>
          <w:rFonts w:hint="eastAsia" w:ascii="Times New Roman" w:eastAsia="仿宋_GB2312"/>
          <w:sz w:val="32"/>
          <w:szCs w:val="32"/>
        </w:rPr>
        <w:t>国土空间总体规划（2</w:t>
      </w:r>
      <w:r>
        <w:rPr>
          <w:rFonts w:ascii="Times New Roman" w:eastAsia="仿宋_GB2312"/>
          <w:sz w:val="32"/>
          <w:szCs w:val="32"/>
        </w:rPr>
        <w:t>020-2035</w:t>
      </w:r>
      <w:r>
        <w:rPr>
          <w:rFonts w:hint="eastAsia" w:ascii="Times New Roman" w:eastAsia="仿宋_GB2312"/>
          <w:sz w:val="32"/>
          <w:szCs w:val="32"/>
        </w:rPr>
        <w:t>）</w:t>
      </w:r>
      <w:r>
        <w:rPr>
          <w:rFonts w:ascii="Times New Roman" w:eastAsia="仿宋_GB2312"/>
          <w:sz w:val="32"/>
          <w:szCs w:val="32"/>
        </w:rPr>
        <w:t>》等要求，制定《新疆维吾尔自治区伊宁县矿产资源总体规划（2021-2025年）》（以下简称《规划》）。</w:t>
      </w:r>
    </w:p>
    <w:p>
      <w:pPr>
        <w:widowControl/>
        <w:adjustRightInd/>
        <w:spacing w:line="560" w:lineRule="exact"/>
        <w:ind w:firstLine="656" w:firstLineChars="200"/>
        <w:rPr>
          <w:rFonts w:ascii="Times New Roman" w:eastAsia="仿宋_GB2312"/>
          <w:sz w:val="32"/>
          <w:szCs w:val="32"/>
        </w:rPr>
      </w:pPr>
      <w:r>
        <w:rPr>
          <w:rFonts w:ascii="Times New Roman" w:eastAsia="仿宋_GB2312"/>
          <w:sz w:val="32"/>
          <w:szCs w:val="32"/>
        </w:rPr>
        <w:t>《规划》是2021-2025年伊宁县矿产资源勘查、矿产资源开发利用和矿山地质环境保护与治理的纲领性文件，是自然资源部门依法审批和监督管理矿产资源勘查、矿产资源开发利用活动的重要依据。在伊宁县境内开展基础地质调查评价、矿产勘查、矿产资源开发利用和保护、矿业绿色发展、矿产资源管理等活动，应当符合《规划》。涉及矿产资源勘查开发活动的相关行业规划，应当与本《规划》</w:t>
      </w:r>
      <w:r>
        <w:rPr>
          <w:rFonts w:hint="eastAsia" w:ascii="Times New Roman" w:eastAsia="仿宋_GB2312"/>
          <w:sz w:val="32"/>
          <w:szCs w:val="32"/>
        </w:rPr>
        <w:t>相</w:t>
      </w:r>
      <w:r>
        <w:rPr>
          <w:rFonts w:ascii="Times New Roman" w:eastAsia="仿宋_GB2312"/>
          <w:sz w:val="32"/>
          <w:szCs w:val="32"/>
        </w:rPr>
        <w:t>衔接。</w:t>
      </w:r>
    </w:p>
    <w:p>
      <w:pPr>
        <w:widowControl/>
        <w:adjustRightInd/>
        <w:spacing w:line="560" w:lineRule="exact"/>
        <w:ind w:firstLine="656" w:firstLineChars="200"/>
        <w:rPr>
          <w:rFonts w:ascii="Times New Roman"/>
          <w:sz w:val="30"/>
          <w:szCs w:val="30"/>
        </w:rPr>
        <w:sectPr>
          <w:footerReference r:id="rId11" w:type="default"/>
          <w:footerReference r:id="rId12" w:type="even"/>
          <w:pgSz w:w="11907" w:h="16839"/>
          <w:pgMar w:top="2098" w:right="1474" w:bottom="1985" w:left="1588" w:header="851" w:footer="851" w:gutter="0"/>
          <w:pgNumType w:start="1"/>
          <w:cols w:space="720" w:num="1"/>
          <w:docGrid w:type="lines" w:linePitch="312" w:charSpace="0"/>
        </w:sectPr>
      </w:pPr>
      <w:r>
        <w:rPr>
          <w:rFonts w:ascii="Times New Roman" w:eastAsia="仿宋_GB2312"/>
          <w:sz w:val="32"/>
          <w:szCs w:val="32"/>
        </w:rPr>
        <w:t>《规划》</w:t>
      </w:r>
      <w:r>
        <w:rPr>
          <w:rFonts w:hint="eastAsia" w:ascii="Times New Roman" w:eastAsia="仿宋_GB2312"/>
          <w:sz w:val="32"/>
          <w:szCs w:val="32"/>
        </w:rPr>
        <w:t>适用范围为伊宁县所辖行政区域。</w:t>
      </w:r>
      <w:r>
        <w:rPr>
          <w:rFonts w:ascii="Times New Roman" w:eastAsia="仿宋_GB2312"/>
          <w:sz w:val="32"/>
          <w:szCs w:val="32"/>
        </w:rPr>
        <w:t>以2020年为</w:t>
      </w:r>
      <w:r>
        <w:rPr>
          <w:rFonts w:hint="eastAsia" w:ascii="Times New Roman" w:eastAsia="仿宋_GB2312"/>
          <w:sz w:val="32"/>
          <w:szCs w:val="32"/>
        </w:rPr>
        <w:t>基准年</w:t>
      </w:r>
      <w:r>
        <w:rPr>
          <w:rFonts w:ascii="Times New Roman" w:eastAsia="仿宋_GB2312"/>
          <w:sz w:val="32"/>
          <w:szCs w:val="32"/>
        </w:rPr>
        <w:t>，</w:t>
      </w:r>
      <w:r>
        <w:rPr>
          <w:rFonts w:hint="eastAsia" w:ascii="Times New Roman" w:eastAsia="仿宋_GB2312"/>
          <w:sz w:val="32"/>
          <w:szCs w:val="32"/>
        </w:rPr>
        <w:t>2</w:t>
      </w:r>
      <w:r>
        <w:rPr>
          <w:rFonts w:ascii="Times New Roman" w:eastAsia="仿宋_GB2312"/>
          <w:sz w:val="32"/>
          <w:szCs w:val="32"/>
        </w:rPr>
        <w:t>021-2025年为</w:t>
      </w:r>
      <w:r>
        <w:rPr>
          <w:rFonts w:hint="eastAsia" w:ascii="Times New Roman" w:eastAsia="仿宋_GB2312"/>
          <w:sz w:val="32"/>
          <w:szCs w:val="32"/>
        </w:rPr>
        <w:t>规划期</w:t>
      </w:r>
      <w:r>
        <w:rPr>
          <w:rFonts w:ascii="Times New Roman" w:eastAsia="仿宋_GB2312"/>
          <w:sz w:val="32"/>
          <w:szCs w:val="32"/>
        </w:rPr>
        <w:t>，展望到2035年。</w:t>
      </w:r>
    </w:p>
    <w:p>
      <w:pPr>
        <w:pStyle w:val="3"/>
        <w:spacing w:before="0" w:beforeLines="0" w:after="0" w:afterLines="0" w:line="560" w:lineRule="exact"/>
        <w:ind w:left="728"/>
        <w:jc w:val="both"/>
        <w:rPr>
          <w:rFonts w:ascii="Times New Roman" w:eastAsia="黑体"/>
          <w:b w:val="0"/>
          <w:bCs/>
          <w:szCs w:val="36"/>
        </w:rPr>
      </w:pPr>
      <w:bookmarkStart w:id="11" w:name="_Toc130413598"/>
      <w:r>
        <w:rPr>
          <w:rFonts w:hint="eastAsia" w:ascii="Times New Roman" w:eastAsia="黑体"/>
          <w:b w:val="0"/>
          <w:bCs/>
          <w:szCs w:val="36"/>
        </w:rPr>
        <w:t>一、现状与形势</w:t>
      </w:r>
      <w:bookmarkEnd w:id="11"/>
    </w:p>
    <w:p>
      <w:pPr>
        <w:spacing w:line="560" w:lineRule="exact"/>
        <w:ind w:firstLine="656" w:firstLineChars="200"/>
        <w:rPr>
          <w:rFonts w:ascii="仿宋_GB2312" w:eastAsia="仿宋_GB2312"/>
          <w:sz w:val="32"/>
          <w:szCs w:val="32"/>
        </w:rPr>
      </w:pPr>
      <w:r>
        <w:rPr>
          <w:rFonts w:hint="eastAsia" w:ascii="仿宋_GB2312" w:eastAsia="仿宋_GB2312"/>
          <w:sz w:val="32"/>
          <w:szCs w:val="32"/>
        </w:rPr>
        <w:t>伊宁县</w:t>
      </w:r>
      <w:r>
        <w:rPr>
          <w:rFonts w:ascii="仿宋_GB2312" w:eastAsia="仿宋_GB2312"/>
          <w:sz w:val="32"/>
          <w:szCs w:val="32"/>
        </w:rPr>
        <w:t>位于新疆维吾尔自治区西部，天山西段，</w:t>
      </w:r>
      <w:r>
        <w:fldChar w:fldCharType="begin"/>
      </w:r>
      <w:r>
        <w:instrText xml:space="preserve"> HYPERLINK "https://baike.baidu.com/item/%E4%BC%8A%E7%8A%81%E6%B2%B3%E8%B0%B7/74613" \t "_blank" </w:instrText>
      </w:r>
      <w:r>
        <w:fldChar w:fldCharType="separate"/>
      </w:r>
      <w:r>
        <w:rPr>
          <w:rFonts w:ascii="仿宋_GB2312" w:eastAsia="仿宋_GB2312"/>
          <w:sz w:val="32"/>
          <w:szCs w:val="32"/>
        </w:rPr>
        <w:t>伊犁河谷</w:t>
      </w:r>
      <w:r>
        <w:rPr>
          <w:rFonts w:ascii="仿宋_GB2312" w:eastAsia="仿宋_GB2312"/>
          <w:sz w:val="32"/>
          <w:szCs w:val="32"/>
        </w:rPr>
        <w:fldChar w:fldCharType="end"/>
      </w:r>
      <w:r>
        <w:rPr>
          <w:rFonts w:ascii="仿宋_GB2312" w:eastAsia="仿宋_GB2312"/>
          <w:sz w:val="32"/>
          <w:szCs w:val="32"/>
        </w:rPr>
        <w:t>中部</w:t>
      </w:r>
      <w:r>
        <w:rPr>
          <w:rFonts w:hint="eastAsia" w:ascii="仿宋_GB2312" w:eastAsia="仿宋_GB2312"/>
          <w:sz w:val="32"/>
          <w:szCs w:val="32"/>
        </w:rPr>
        <w:t>，面积</w:t>
      </w:r>
      <w:r>
        <w:rPr>
          <w:rFonts w:ascii="Times New Roman" w:eastAsia="仿宋_GB2312"/>
          <w:sz w:val="32"/>
          <w:szCs w:val="32"/>
        </w:rPr>
        <w:t>4500</w:t>
      </w:r>
      <w:r>
        <w:rPr>
          <w:rFonts w:hint="eastAsia" w:ascii="仿宋_GB2312" w:eastAsia="仿宋_GB2312"/>
          <w:sz w:val="32"/>
          <w:szCs w:val="32"/>
        </w:rPr>
        <w:t>平方千米</w:t>
      </w:r>
      <w:r>
        <w:rPr>
          <w:rFonts w:ascii="仿宋_GB2312" w:eastAsia="仿宋_GB2312"/>
          <w:sz w:val="32"/>
          <w:szCs w:val="32"/>
        </w:rPr>
        <w:t>。</w:t>
      </w:r>
      <w:r>
        <w:rPr>
          <w:rFonts w:hint="eastAsia" w:ascii="仿宋_GB2312" w:eastAsia="仿宋_GB2312"/>
          <w:sz w:val="32"/>
          <w:szCs w:val="32"/>
        </w:rPr>
        <w:t>东邻尼勒克县，南邻伊犁河，与察布查尔锡伯自治县、巩留县相望，西接伊宁市、北越科古尔琴山的库色木契河与博乐市和精河县为界。</w:t>
      </w:r>
      <w:r>
        <w:rPr>
          <w:rFonts w:ascii="Times New Roman"/>
          <w:sz w:val="32"/>
          <w:szCs w:val="32"/>
        </w:rPr>
        <w:t>区内矿产资源丰富，勘查开发潜力大，伊</w:t>
      </w:r>
      <w:r>
        <w:rPr>
          <w:rFonts w:hint="eastAsia" w:ascii="Times New Roman"/>
          <w:sz w:val="32"/>
          <w:szCs w:val="32"/>
        </w:rPr>
        <w:t>宁</w:t>
      </w:r>
      <w:r>
        <w:rPr>
          <w:rFonts w:ascii="Times New Roman"/>
          <w:sz w:val="32"/>
          <w:szCs w:val="32"/>
        </w:rPr>
        <w:t>煤矿区（</w:t>
      </w:r>
      <w:r>
        <w:rPr>
          <w:rFonts w:hint="eastAsia" w:ascii="Times New Roman"/>
          <w:sz w:val="32"/>
          <w:szCs w:val="32"/>
        </w:rPr>
        <w:t>北</w:t>
      </w:r>
      <w:r>
        <w:rPr>
          <w:rFonts w:ascii="Times New Roman"/>
          <w:sz w:val="32"/>
          <w:szCs w:val="32"/>
        </w:rPr>
        <w:t>区）位于县内，煤矿储量居全疆前列。</w:t>
      </w:r>
    </w:p>
    <w:p>
      <w:pPr>
        <w:pStyle w:val="3"/>
        <w:spacing w:before="0" w:beforeLines="0" w:after="0" w:afterLines="0" w:line="560" w:lineRule="exact"/>
        <w:ind w:firstLine="659" w:firstLineChars="200"/>
        <w:jc w:val="both"/>
        <w:rPr>
          <w:rFonts w:ascii="Times New Roman" w:hAnsi="Times New Roman" w:eastAsia="楷体"/>
          <w:sz w:val="32"/>
          <w:szCs w:val="32"/>
        </w:rPr>
      </w:pPr>
      <w:bookmarkStart w:id="12" w:name="_Toc130413599"/>
      <w:r>
        <w:rPr>
          <w:rFonts w:ascii="Times New Roman" w:hAnsi="Times New Roman" w:eastAsia="楷体"/>
          <w:sz w:val="32"/>
          <w:szCs w:val="32"/>
        </w:rPr>
        <w:t>（一） 矿产资源及勘查</w:t>
      </w:r>
      <w:r>
        <w:rPr>
          <w:rFonts w:hint="eastAsia" w:ascii="Times New Roman" w:hAnsi="Times New Roman" w:eastAsia="楷体"/>
          <w:sz w:val="32"/>
          <w:szCs w:val="32"/>
        </w:rPr>
        <w:t>、</w:t>
      </w:r>
      <w:r>
        <w:rPr>
          <w:rFonts w:ascii="Times New Roman" w:hAnsi="Times New Roman" w:eastAsia="楷体"/>
          <w:sz w:val="32"/>
          <w:szCs w:val="32"/>
        </w:rPr>
        <w:t>开发现状</w:t>
      </w:r>
      <w:bookmarkEnd w:id="12"/>
    </w:p>
    <w:p>
      <w:pPr>
        <w:spacing w:line="560" w:lineRule="exact"/>
        <w:ind w:firstLine="659" w:firstLineChars="200"/>
        <w:rPr>
          <w:rFonts w:ascii="Times New Roman"/>
          <w:sz w:val="32"/>
          <w:szCs w:val="32"/>
        </w:rPr>
      </w:pPr>
      <w:r>
        <w:rPr>
          <w:rFonts w:ascii="仿宋_GB2312" w:eastAsia="仿宋_GB2312"/>
          <w:b/>
          <w:sz w:val="32"/>
          <w:szCs w:val="32"/>
        </w:rPr>
        <w:t>矿产资源概况。</w:t>
      </w:r>
      <w:r>
        <w:rPr>
          <w:rFonts w:hint="eastAsia" w:ascii="仿宋_GB2312" w:eastAsia="仿宋_GB2312"/>
          <w:sz w:val="32"/>
          <w:szCs w:val="32"/>
        </w:rPr>
        <w:t>伊宁县矿产资源分布具有明显的地域特点，北部和东部山区主要为有色金属、贵金属分布区，中部山前地区以煤炭、非金属矿为主，山前冲积平原则分布着大量的砂石、砖瓦用粘土矿。伊宁县矿产资源丰富，有三个重要的成矿带从县境内通过，即</w:t>
      </w:r>
      <w:r>
        <w:rPr>
          <w:rFonts w:hint="eastAsia" w:ascii="仿宋_GB2312" w:eastAsia="仿宋_GB2312"/>
          <w:sz w:val="32"/>
          <w:szCs w:val="32"/>
          <w:lang w:eastAsia="zh-CN"/>
        </w:rPr>
        <w:t>：</w:t>
      </w:r>
      <w:r>
        <w:rPr>
          <w:rFonts w:hint="eastAsia" w:ascii="仿宋_GB2312" w:eastAsia="仿宋_GB2312"/>
          <w:sz w:val="32"/>
          <w:szCs w:val="32"/>
        </w:rPr>
        <w:t>博罗科努金、铜、钼、铅、锌成矿带；阿吾拉勒山铁铜成矿带；伊犁盆地煤、非金属成矿带。已探明的有金、煤、铜、铁、高岭石、石灰岩、花岗岩、云母、石膏、重晶石、耐火粘土、石英岩、铅锌等27个矿种，</w:t>
      </w:r>
      <w:r>
        <w:rPr>
          <w:rFonts w:ascii="仿宋_GB2312" w:eastAsia="仿宋_GB2312"/>
          <w:sz w:val="32"/>
          <w:szCs w:val="32"/>
        </w:rPr>
        <w:t>34</w:t>
      </w:r>
      <w:r>
        <w:rPr>
          <w:rFonts w:hint="eastAsia" w:ascii="仿宋_GB2312" w:eastAsia="仿宋_GB2312"/>
          <w:sz w:val="32"/>
          <w:szCs w:val="32"/>
        </w:rPr>
        <w:t>处矿区，其中大型4处，中型8处，小型</w:t>
      </w:r>
      <w:r>
        <w:rPr>
          <w:rFonts w:ascii="仿宋_GB2312" w:eastAsia="仿宋_GB2312"/>
          <w:sz w:val="32"/>
          <w:szCs w:val="32"/>
        </w:rPr>
        <w:t>22</w:t>
      </w:r>
      <w:r>
        <w:rPr>
          <w:rFonts w:hint="eastAsia" w:ascii="仿宋_GB2312" w:eastAsia="仿宋_GB2312"/>
          <w:sz w:val="32"/>
          <w:szCs w:val="32"/>
        </w:rPr>
        <w:t>处。</w:t>
      </w:r>
    </w:p>
    <w:tbl>
      <w:tblPr>
        <w:tblStyle w:val="3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55"/>
        <w:gridCol w:w="1803"/>
        <w:gridCol w:w="1337"/>
        <w:gridCol w:w="1689"/>
        <w:gridCol w:w="1807"/>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5000" w:type="pct"/>
            <w:gridSpan w:val="6"/>
            <w:shd w:val="clear" w:color="auto" w:fill="auto"/>
            <w:noWrap/>
          </w:tcPr>
          <w:p>
            <w:pPr>
              <w:spacing w:line="240" w:lineRule="auto"/>
              <w:rPr>
                <w:rFonts w:ascii="仿宋" w:hAnsi="仿宋"/>
                <w:b/>
                <w:bCs/>
                <w:color w:val="000000"/>
                <w:sz w:val="21"/>
                <w:szCs w:val="21"/>
              </w:rPr>
            </w:pPr>
            <w:r>
              <w:rPr>
                <w:rFonts w:ascii="Times New Roman" w:eastAsia="仿宋_GB2312"/>
                <w:b/>
                <w:bCs/>
                <w:sz w:val="21"/>
                <w:szCs w:val="21"/>
              </w:rPr>
              <w:t>专栏1                              截至2020年底伊宁县查明矿产资源储量统计表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362" w:type="pct"/>
            <w:shd w:val="clear" w:color="auto" w:fill="auto"/>
            <w:noWrap/>
          </w:tcPr>
          <w:p>
            <w:pPr>
              <w:spacing w:line="240" w:lineRule="auto"/>
              <w:jc w:val="center"/>
              <w:rPr>
                <w:rFonts w:ascii="Times New Roman" w:eastAsia="仿宋_GB2312"/>
                <w:bCs/>
                <w:sz w:val="21"/>
                <w:szCs w:val="21"/>
              </w:rPr>
            </w:pPr>
            <w:r>
              <w:rPr>
                <w:rFonts w:ascii="Times New Roman" w:eastAsia="仿宋_GB2312"/>
                <w:bCs/>
                <w:sz w:val="21"/>
                <w:szCs w:val="21"/>
              </w:rPr>
              <w:t>序号</w:t>
            </w:r>
          </w:p>
        </w:tc>
        <w:tc>
          <w:tcPr>
            <w:tcW w:w="995" w:type="pct"/>
            <w:shd w:val="clear" w:color="auto" w:fill="auto"/>
            <w:noWrap/>
          </w:tcPr>
          <w:p>
            <w:pPr>
              <w:spacing w:line="240" w:lineRule="auto"/>
              <w:jc w:val="center"/>
              <w:rPr>
                <w:rFonts w:ascii="Times New Roman" w:eastAsia="仿宋_GB2312"/>
                <w:bCs/>
                <w:sz w:val="21"/>
                <w:szCs w:val="21"/>
              </w:rPr>
            </w:pPr>
            <w:r>
              <w:rPr>
                <w:rFonts w:ascii="Times New Roman" w:eastAsia="仿宋_GB2312"/>
                <w:bCs/>
                <w:sz w:val="21"/>
                <w:szCs w:val="21"/>
              </w:rPr>
              <w:t>矿种</w:t>
            </w:r>
          </w:p>
        </w:tc>
        <w:tc>
          <w:tcPr>
            <w:tcW w:w="738" w:type="pct"/>
            <w:shd w:val="clear" w:color="auto" w:fill="auto"/>
          </w:tcPr>
          <w:p>
            <w:pPr>
              <w:spacing w:line="240" w:lineRule="auto"/>
              <w:jc w:val="center"/>
              <w:rPr>
                <w:rFonts w:ascii="Times New Roman" w:eastAsia="仿宋_GB2312"/>
                <w:bCs/>
                <w:sz w:val="21"/>
                <w:szCs w:val="21"/>
              </w:rPr>
            </w:pPr>
            <w:r>
              <w:rPr>
                <w:rFonts w:ascii="Times New Roman" w:eastAsia="仿宋_GB2312"/>
                <w:bCs/>
                <w:sz w:val="21"/>
                <w:szCs w:val="21"/>
              </w:rPr>
              <w:t>矿区数</w:t>
            </w:r>
          </w:p>
        </w:tc>
        <w:tc>
          <w:tcPr>
            <w:tcW w:w="932" w:type="pct"/>
            <w:shd w:val="clear" w:color="auto" w:fill="auto"/>
            <w:noWrap/>
          </w:tcPr>
          <w:p>
            <w:pPr>
              <w:spacing w:line="240" w:lineRule="auto"/>
              <w:jc w:val="center"/>
              <w:rPr>
                <w:rFonts w:ascii="Times New Roman" w:eastAsia="仿宋_GB2312"/>
                <w:bCs/>
                <w:sz w:val="21"/>
                <w:szCs w:val="21"/>
              </w:rPr>
            </w:pPr>
            <w:r>
              <w:rPr>
                <w:rFonts w:ascii="Times New Roman" w:eastAsia="仿宋_GB2312"/>
                <w:bCs/>
                <w:sz w:val="21"/>
                <w:szCs w:val="21"/>
              </w:rPr>
              <w:t>统计对象/单位</w:t>
            </w:r>
          </w:p>
        </w:tc>
        <w:tc>
          <w:tcPr>
            <w:tcW w:w="997" w:type="pct"/>
            <w:shd w:val="clear" w:color="auto" w:fill="auto"/>
            <w:noWrap/>
          </w:tcPr>
          <w:p>
            <w:pPr>
              <w:spacing w:line="240" w:lineRule="auto"/>
              <w:jc w:val="center"/>
              <w:rPr>
                <w:rFonts w:ascii="Times New Roman" w:eastAsia="仿宋_GB2312"/>
                <w:bCs/>
                <w:sz w:val="21"/>
                <w:szCs w:val="21"/>
              </w:rPr>
            </w:pPr>
            <w:r>
              <w:rPr>
                <w:rFonts w:ascii="Times New Roman" w:eastAsia="仿宋_GB2312"/>
                <w:bCs/>
                <w:sz w:val="21"/>
                <w:szCs w:val="21"/>
              </w:rPr>
              <w:t>保有资源量</w:t>
            </w:r>
          </w:p>
        </w:tc>
        <w:tc>
          <w:tcPr>
            <w:tcW w:w="976" w:type="pct"/>
          </w:tcPr>
          <w:p>
            <w:pPr>
              <w:spacing w:line="240" w:lineRule="auto"/>
              <w:jc w:val="center"/>
              <w:rPr>
                <w:rFonts w:ascii="Times New Roman" w:eastAsia="仿宋_GB2312"/>
                <w:bCs/>
                <w:sz w:val="21"/>
                <w:szCs w:val="21"/>
              </w:rPr>
            </w:pPr>
            <w:r>
              <w:rPr>
                <w:rFonts w:ascii="Times New Roman" w:eastAsia="仿宋_GB2312"/>
                <w:bCs/>
                <w:sz w:val="21"/>
                <w:szCs w:val="21"/>
              </w:rPr>
              <w:t>累计查明资源量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62" w:type="pct"/>
            <w:shd w:val="clear" w:color="auto" w:fill="auto"/>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1</w:t>
            </w:r>
          </w:p>
        </w:tc>
        <w:tc>
          <w:tcPr>
            <w:tcW w:w="995" w:type="pct"/>
            <w:shd w:val="clear" w:color="auto" w:fill="auto"/>
            <w:noWrap/>
            <w:vAlign w:val="center"/>
          </w:tcPr>
          <w:p>
            <w:pPr>
              <w:spacing w:before="38" w:beforeLines="10" w:after="38" w:afterLines="10" w:line="300" w:lineRule="exact"/>
              <w:jc w:val="center"/>
              <w:rPr>
                <w:rFonts w:ascii="Times New Roman"/>
                <w:color w:val="000000"/>
                <w:sz w:val="21"/>
                <w:szCs w:val="21"/>
              </w:rPr>
            </w:pPr>
            <w:r>
              <w:rPr>
                <w:rFonts w:ascii="Calibri" w:hAnsi="Calibri" w:cs="Calibri"/>
                <w:sz w:val="21"/>
                <w:szCs w:val="21"/>
              </w:rPr>
              <w:t>煤炭</w:t>
            </w:r>
          </w:p>
        </w:tc>
        <w:tc>
          <w:tcPr>
            <w:tcW w:w="738" w:type="pct"/>
            <w:shd w:val="clear" w:color="auto" w:fill="auto"/>
            <w:vAlign w:val="center"/>
          </w:tcPr>
          <w:p>
            <w:pPr>
              <w:spacing w:before="38" w:beforeLines="10" w:after="38" w:afterLines="10" w:line="300" w:lineRule="exact"/>
              <w:jc w:val="center"/>
              <w:rPr>
                <w:rFonts w:ascii="仿宋" w:hAnsi="仿宋"/>
                <w:color w:val="000000"/>
                <w:sz w:val="21"/>
                <w:szCs w:val="21"/>
              </w:rPr>
            </w:pPr>
            <w:r>
              <w:rPr>
                <w:rFonts w:ascii="仿宋" w:hAnsi="仿宋" w:cs="Calibri"/>
                <w:sz w:val="21"/>
                <w:szCs w:val="21"/>
              </w:rPr>
              <w:t>20</w:t>
            </w:r>
          </w:p>
        </w:tc>
        <w:tc>
          <w:tcPr>
            <w:tcW w:w="932" w:type="pct"/>
            <w:shd w:val="clear" w:color="auto" w:fill="auto"/>
            <w:noWrap/>
          </w:tcPr>
          <w:p>
            <w:pPr>
              <w:spacing w:before="38" w:beforeLines="10" w:after="38" w:afterLines="10" w:line="300" w:lineRule="exact"/>
              <w:jc w:val="center"/>
              <w:rPr>
                <w:rFonts w:ascii="Calibri" w:hAnsi="Calibri" w:cs="Calibri"/>
                <w:sz w:val="21"/>
                <w:szCs w:val="21"/>
              </w:rPr>
            </w:pPr>
            <w:r>
              <w:rPr>
                <w:rFonts w:ascii="Calibri" w:hAnsi="Calibri" w:cs="Calibri"/>
                <w:sz w:val="21"/>
                <w:szCs w:val="21"/>
              </w:rPr>
              <w:t>矿石/亿吨</w:t>
            </w:r>
          </w:p>
        </w:tc>
        <w:tc>
          <w:tcPr>
            <w:tcW w:w="997" w:type="pct"/>
            <w:shd w:val="clear" w:color="auto" w:fill="auto"/>
            <w:noWrap/>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5</w:t>
            </w:r>
            <w:r>
              <w:rPr>
                <w:rFonts w:ascii="Times New Roman"/>
                <w:color w:val="000000"/>
                <w:sz w:val="21"/>
                <w:szCs w:val="21"/>
              </w:rPr>
              <w:t>7.61</w:t>
            </w:r>
          </w:p>
        </w:tc>
        <w:tc>
          <w:tcPr>
            <w:tcW w:w="976" w:type="pct"/>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57.84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62" w:type="pct"/>
            <w:shd w:val="clear" w:color="auto" w:fill="auto"/>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2</w:t>
            </w:r>
          </w:p>
        </w:tc>
        <w:tc>
          <w:tcPr>
            <w:tcW w:w="995" w:type="pct"/>
            <w:shd w:val="clear" w:color="auto" w:fill="auto"/>
            <w:noWrap/>
            <w:vAlign w:val="center"/>
          </w:tcPr>
          <w:p>
            <w:pPr>
              <w:widowControl/>
              <w:adjustRightInd/>
              <w:snapToGrid/>
              <w:spacing w:line="300" w:lineRule="exact"/>
              <w:jc w:val="center"/>
              <w:rPr>
                <w:rFonts w:ascii="Times New Roman"/>
                <w:color w:val="000000"/>
                <w:sz w:val="21"/>
                <w:szCs w:val="21"/>
              </w:rPr>
            </w:pPr>
            <w:r>
              <w:rPr>
                <w:rFonts w:ascii="Calibri" w:hAnsi="Calibri" w:cs="Calibri"/>
                <w:sz w:val="21"/>
                <w:szCs w:val="21"/>
              </w:rPr>
              <w:t>铁矿</w:t>
            </w:r>
          </w:p>
        </w:tc>
        <w:tc>
          <w:tcPr>
            <w:tcW w:w="738" w:type="pct"/>
            <w:shd w:val="clear" w:color="auto" w:fill="auto"/>
            <w:vAlign w:val="center"/>
          </w:tcPr>
          <w:p>
            <w:pPr>
              <w:spacing w:before="38" w:beforeLines="10" w:after="38" w:afterLines="10" w:line="300" w:lineRule="exact"/>
              <w:jc w:val="center"/>
              <w:rPr>
                <w:rFonts w:ascii="仿宋" w:hAnsi="仿宋"/>
                <w:color w:val="000000"/>
                <w:sz w:val="21"/>
                <w:szCs w:val="21"/>
              </w:rPr>
            </w:pPr>
            <w:r>
              <w:rPr>
                <w:rFonts w:ascii="仿宋" w:hAnsi="仿宋" w:cs="Calibri"/>
                <w:sz w:val="21"/>
                <w:szCs w:val="21"/>
              </w:rPr>
              <w:t>1</w:t>
            </w:r>
          </w:p>
        </w:tc>
        <w:tc>
          <w:tcPr>
            <w:tcW w:w="932" w:type="pct"/>
            <w:shd w:val="clear" w:color="auto" w:fill="auto"/>
            <w:noWrap/>
          </w:tcPr>
          <w:p>
            <w:pPr>
              <w:spacing w:before="38" w:beforeLines="10" w:after="38" w:afterLines="10" w:line="300" w:lineRule="exact"/>
              <w:jc w:val="center"/>
              <w:rPr>
                <w:rFonts w:ascii="Calibri" w:hAnsi="Calibri" w:cs="Calibri"/>
                <w:sz w:val="21"/>
                <w:szCs w:val="21"/>
              </w:rPr>
            </w:pPr>
            <w:r>
              <w:rPr>
                <w:rFonts w:ascii="Calibri" w:hAnsi="Calibri" w:cs="Calibri"/>
                <w:sz w:val="21"/>
                <w:szCs w:val="21"/>
              </w:rPr>
              <w:t>矿石/万吨</w:t>
            </w:r>
          </w:p>
        </w:tc>
        <w:tc>
          <w:tcPr>
            <w:tcW w:w="997" w:type="pct"/>
            <w:shd w:val="clear" w:color="auto" w:fill="auto"/>
            <w:noWrap/>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5</w:t>
            </w:r>
            <w:r>
              <w:rPr>
                <w:rFonts w:ascii="Times New Roman"/>
                <w:color w:val="000000"/>
                <w:sz w:val="21"/>
                <w:szCs w:val="21"/>
              </w:rPr>
              <w:t>49.09</w:t>
            </w:r>
          </w:p>
        </w:tc>
        <w:tc>
          <w:tcPr>
            <w:tcW w:w="976" w:type="pct"/>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549.09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62" w:type="pct"/>
            <w:shd w:val="clear" w:color="auto" w:fill="auto"/>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3</w:t>
            </w:r>
          </w:p>
        </w:tc>
        <w:tc>
          <w:tcPr>
            <w:tcW w:w="995" w:type="pct"/>
            <w:shd w:val="clear" w:color="auto" w:fill="auto"/>
            <w:noWrap/>
            <w:vAlign w:val="center"/>
          </w:tcPr>
          <w:p>
            <w:pPr>
              <w:spacing w:before="38" w:beforeLines="10" w:after="38" w:afterLines="10" w:line="300" w:lineRule="exact"/>
              <w:jc w:val="center"/>
              <w:rPr>
                <w:rFonts w:ascii="Times New Roman"/>
                <w:color w:val="000000"/>
                <w:sz w:val="21"/>
                <w:szCs w:val="21"/>
              </w:rPr>
            </w:pPr>
            <w:r>
              <w:rPr>
                <w:rFonts w:ascii="Calibri" w:hAnsi="Calibri" w:cs="Calibri"/>
                <w:sz w:val="21"/>
                <w:szCs w:val="21"/>
              </w:rPr>
              <w:t>铜矿</w:t>
            </w:r>
          </w:p>
        </w:tc>
        <w:tc>
          <w:tcPr>
            <w:tcW w:w="738" w:type="pct"/>
            <w:shd w:val="clear" w:color="auto" w:fill="auto"/>
            <w:vAlign w:val="center"/>
          </w:tcPr>
          <w:p>
            <w:pPr>
              <w:spacing w:before="38" w:beforeLines="10" w:after="38" w:afterLines="10" w:line="300" w:lineRule="exact"/>
              <w:jc w:val="center"/>
              <w:rPr>
                <w:rFonts w:ascii="仿宋" w:hAnsi="仿宋"/>
                <w:color w:val="000000"/>
                <w:sz w:val="21"/>
                <w:szCs w:val="21"/>
              </w:rPr>
            </w:pPr>
            <w:r>
              <w:rPr>
                <w:rFonts w:ascii="仿宋" w:hAnsi="仿宋" w:cs="Calibri"/>
                <w:sz w:val="21"/>
                <w:szCs w:val="21"/>
              </w:rPr>
              <w:t>1</w:t>
            </w:r>
          </w:p>
        </w:tc>
        <w:tc>
          <w:tcPr>
            <w:tcW w:w="932" w:type="pct"/>
            <w:shd w:val="clear" w:color="auto" w:fill="auto"/>
            <w:noWrap/>
          </w:tcPr>
          <w:p>
            <w:pPr>
              <w:spacing w:before="38" w:beforeLines="10" w:after="38" w:afterLines="10" w:line="300" w:lineRule="exact"/>
              <w:jc w:val="center"/>
              <w:rPr>
                <w:rFonts w:ascii="Calibri" w:hAnsi="Calibri" w:cs="Calibri"/>
                <w:sz w:val="21"/>
                <w:szCs w:val="21"/>
              </w:rPr>
            </w:pPr>
            <w:r>
              <w:rPr>
                <w:rFonts w:ascii="Calibri" w:hAnsi="Calibri" w:cs="Calibri"/>
                <w:sz w:val="21"/>
                <w:szCs w:val="21"/>
              </w:rPr>
              <w:t>铜/吨</w:t>
            </w:r>
          </w:p>
        </w:tc>
        <w:tc>
          <w:tcPr>
            <w:tcW w:w="997" w:type="pct"/>
            <w:shd w:val="clear" w:color="auto" w:fill="auto"/>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38444.53</w:t>
            </w:r>
          </w:p>
        </w:tc>
        <w:tc>
          <w:tcPr>
            <w:tcW w:w="976" w:type="pct"/>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38444.53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62" w:type="pct"/>
            <w:shd w:val="clear" w:color="auto" w:fill="auto"/>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4</w:t>
            </w:r>
          </w:p>
        </w:tc>
        <w:tc>
          <w:tcPr>
            <w:tcW w:w="995" w:type="pct"/>
            <w:shd w:val="clear" w:color="auto" w:fill="auto"/>
            <w:noWrap/>
            <w:vAlign w:val="center"/>
          </w:tcPr>
          <w:p>
            <w:pPr>
              <w:spacing w:before="38" w:beforeLines="10" w:after="38" w:afterLines="10" w:line="300" w:lineRule="exact"/>
              <w:jc w:val="center"/>
              <w:rPr>
                <w:rFonts w:ascii="Times New Roman"/>
                <w:color w:val="000000"/>
                <w:sz w:val="21"/>
                <w:szCs w:val="21"/>
              </w:rPr>
            </w:pPr>
            <w:r>
              <w:rPr>
                <w:rFonts w:ascii="Calibri" w:hAnsi="Calibri" w:cs="Calibri"/>
                <w:sz w:val="21"/>
                <w:szCs w:val="21"/>
              </w:rPr>
              <w:t>铅矿</w:t>
            </w:r>
          </w:p>
        </w:tc>
        <w:tc>
          <w:tcPr>
            <w:tcW w:w="738" w:type="pct"/>
            <w:shd w:val="clear" w:color="auto" w:fill="auto"/>
            <w:vAlign w:val="center"/>
          </w:tcPr>
          <w:p>
            <w:pPr>
              <w:spacing w:before="38" w:beforeLines="10" w:after="38" w:afterLines="10" w:line="300" w:lineRule="exact"/>
              <w:jc w:val="center"/>
              <w:rPr>
                <w:rFonts w:ascii="仿宋" w:hAnsi="仿宋"/>
                <w:color w:val="000000"/>
                <w:sz w:val="21"/>
                <w:szCs w:val="21"/>
              </w:rPr>
            </w:pPr>
            <w:r>
              <w:rPr>
                <w:rFonts w:ascii="仿宋" w:hAnsi="仿宋" w:cs="Calibri"/>
                <w:sz w:val="21"/>
                <w:szCs w:val="21"/>
              </w:rPr>
              <w:t>1</w:t>
            </w:r>
          </w:p>
        </w:tc>
        <w:tc>
          <w:tcPr>
            <w:tcW w:w="932" w:type="pct"/>
            <w:shd w:val="clear" w:color="auto" w:fill="auto"/>
            <w:noWrap/>
          </w:tcPr>
          <w:p>
            <w:pPr>
              <w:spacing w:before="38" w:beforeLines="10" w:after="38" w:afterLines="10" w:line="300" w:lineRule="exact"/>
              <w:jc w:val="center"/>
              <w:rPr>
                <w:rFonts w:ascii="Calibri" w:hAnsi="Calibri" w:cs="Calibri"/>
                <w:sz w:val="21"/>
                <w:szCs w:val="21"/>
              </w:rPr>
            </w:pPr>
            <w:r>
              <w:rPr>
                <w:rFonts w:ascii="Calibri" w:hAnsi="Calibri" w:cs="Calibri"/>
                <w:sz w:val="21"/>
                <w:szCs w:val="21"/>
              </w:rPr>
              <w:t>铅/吨</w:t>
            </w:r>
          </w:p>
        </w:tc>
        <w:tc>
          <w:tcPr>
            <w:tcW w:w="997" w:type="pct"/>
            <w:shd w:val="clear" w:color="auto" w:fill="auto"/>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3374.39</w:t>
            </w:r>
          </w:p>
        </w:tc>
        <w:tc>
          <w:tcPr>
            <w:tcW w:w="976" w:type="pct"/>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3374.39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62" w:type="pct"/>
            <w:shd w:val="clear" w:color="auto" w:fill="auto"/>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5</w:t>
            </w:r>
          </w:p>
        </w:tc>
        <w:tc>
          <w:tcPr>
            <w:tcW w:w="995" w:type="pct"/>
            <w:shd w:val="clear" w:color="auto" w:fill="auto"/>
            <w:noWrap/>
            <w:vAlign w:val="center"/>
          </w:tcPr>
          <w:p>
            <w:pPr>
              <w:spacing w:before="38" w:beforeLines="10" w:after="38" w:afterLines="10" w:line="300" w:lineRule="exact"/>
              <w:jc w:val="center"/>
              <w:rPr>
                <w:rFonts w:ascii="Times New Roman"/>
                <w:color w:val="000000"/>
                <w:sz w:val="21"/>
                <w:szCs w:val="21"/>
              </w:rPr>
            </w:pPr>
            <w:r>
              <w:rPr>
                <w:rFonts w:ascii="Calibri" w:hAnsi="Calibri" w:cs="Calibri"/>
                <w:sz w:val="21"/>
                <w:szCs w:val="21"/>
              </w:rPr>
              <w:t>金矿</w:t>
            </w:r>
          </w:p>
        </w:tc>
        <w:tc>
          <w:tcPr>
            <w:tcW w:w="738" w:type="pct"/>
            <w:shd w:val="clear" w:color="auto" w:fill="auto"/>
            <w:vAlign w:val="center"/>
          </w:tcPr>
          <w:p>
            <w:pPr>
              <w:spacing w:before="38" w:beforeLines="10" w:after="38" w:afterLines="10" w:line="300" w:lineRule="exact"/>
              <w:jc w:val="center"/>
              <w:rPr>
                <w:rFonts w:ascii="仿宋" w:hAnsi="仿宋"/>
                <w:color w:val="000000"/>
                <w:sz w:val="21"/>
                <w:szCs w:val="21"/>
              </w:rPr>
            </w:pPr>
            <w:r>
              <w:rPr>
                <w:rFonts w:ascii="仿宋" w:hAnsi="仿宋" w:cs="Calibri"/>
                <w:sz w:val="21"/>
                <w:szCs w:val="21"/>
              </w:rPr>
              <w:t>5</w:t>
            </w:r>
          </w:p>
        </w:tc>
        <w:tc>
          <w:tcPr>
            <w:tcW w:w="932" w:type="pct"/>
            <w:shd w:val="clear" w:color="auto" w:fill="auto"/>
            <w:noWrap/>
          </w:tcPr>
          <w:p>
            <w:pPr>
              <w:spacing w:before="38" w:beforeLines="10" w:after="38" w:afterLines="10" w:line="300" w:lineRule="exact"/>
              <w:jc w:val="center"/>
              <w:rPr>
                <w:rFonts w:ascii="Calibri" w:hAnsi="Calibri" w:cs="Calibri"/>
                <w:sz w:val="21"/>
                <w:szCs w:val="21"/>
              </w:rPr>
            </w:pPr>
            <w:r>
              <w:rPr>
                <w:rFonts w:ascii="Calibri" w:hAnsi="Calibri" w:cs="Calibri"/>
                <w:sz w:val="21"/>
                <w:szCs w:val="21"/>
              </w:rPr>
              <w:t>金/吨</w:t>
            </w:r>
          </w:p>
        </w:tc>
        <w:tc>
          <w:tcPr>
            <w:tcW w:w="997" w:type="pct"/>
            <w:shd w:val="clear" w:color="auto" w:fill="auto"/>
            <w:noWrap/>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9</w:t>
            </w:r>
            <w:r>
              <w:rPr>
                <w:rFonts w:ascii="Times New Roman"/>
                <w:color w:val="000000"/>
                <w:sz w:val="21"/>
                <w:szCs w:val="21"/>
              </w:rPr>
              <w:t>6.72</w:t>
            </w:r>
          </w:p>
        </w:tc>
        <w:tc>
          <w:tcPr>
            <w:tcW w:w="976" w:type="pct"/>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133.06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62" w:type="pct"/>
            <w:shd w:val="clear" w:color="auto" w:fill="auto"/>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6</w:t>
            </w:r>
          </w:p>
        </w:tc>
        <w:tc>
          <w:tcPr>
            <w:tcW w:w="995" w:type="pct"/>
            <w:shd w:val="clear" w:color="auto" w:fill="auto"/>
            <w:noWrap/>
            <w:vAlign w:val="center"/>
          </w:tcPr>
          <w:p>
            <w:pPr>
              <w:spacing w:before="38" w:beforeLines="10" w:after="38" w:afterLines="10" w:line="300" w:lineRule="exact"/>
              <w:jc w:val="center"/>
              <w:rPr>
                <w:rFonts w:ascii="Times New Roman"/>
                <w:color w:val="000000"/>
                <w:sz w:val="21"/>
                <w:szCs w:val="21"/>
              </w:rPr>
            </w:pPr>
            <w:r>
              <w:rPr>
                <w:rFonts w:ascii="Calibri" w:hAnsi="Calibri" w:cs="Calibri"/>
                <w:sz w:val="21"/>
                <w:szCs w:val="21"/>
              </w:rPr>
              <w:t>重晶石</w:t>
            </w:r>
          </w:p>
        </w:tc>
        <w:tc>
          <w:tcPr>
            <w:tcW w:w="738" w:type="pct"/>
            <w:shd w:val="clear" w:color="auto" w:fill="auto"/>
            <w:vAlign w:val="center"/>
          </w:tcPr>
          <w:p>
            <w:pPr>
              <w:spacing w:before="38" w:beforeLines="10" w:after="38" w:afterLines="10" w:line="300" w:lineRule="exact"/>
              <w:jc w:val="center"/>
              <w:rPr>
                <w:rFonts w:ascii="仿宋" w:hAnsi="仿宋"/>
                <w:color w:val="000000"/>
                <w:sz w:val="21"/>
                <w:szCs w:val="21"/>
              </w:rPr>
            </w:pPr>
            <w:r>
              <w:rPr>
                <w:rFonts w:ascii="仿宋" w:hAnsi="仿宋" w:cs="Calibri"/>
                <w:sz w:val="21"/>
                <w:szCs w:val="21"/>
              </w:rPr>
              <w:t>1</w:t>
            </w:r>
          </w:p>
        </w:tc>
        <w:tc>
          <w:tcPr>
            <w:tcW w:w="932" w:type="pct"/>
            <w:shd w:val="clear" w:color="auto" w:fill="auto"/>
            <w:noWrap/>
          </w:tcPr>
          <w:p>
            <w:pPr>
              <w:spacing w:before="38" w:beforeLines="10" w:after="38" w:afterLines="10" w:line="300" w:lineRule="exact"/>
              <w:jc w:val="center"/>
              <w:rPr>
                <w:rFonts w:ascii="Calibri" w:hAnsi="Calibri" w:cs="Calibri"/>
                <w:sz w:val="21"/>
                <w:szCs w:val="21"/>
              </w:rPr>
            </w:pPr>
            <w:r>
              <w:rPr>
                <w:rFonts w:ascii="Calibri" w:hAnsi="Calibri" w:cs="Calibri"/>
                <w:sz w:val="21"/>
                <w:szCs w:val="21"/>
              </w:rPr>
              <w:t>矿石/万吨</w:t>
            </w:r>
          </w:p>
        </w:tc>
        <w:tc>
          <w:tcPr>
            <w:tcW w:w="997" w:type="pct"/>
            <w:shd w:val="clear" w:color="auto" w:fill="auto"/>
            <w:noWrap/>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5</w:t>
            </w:r>
            <w:r>
              <w:rPr>
                <w:rFonts w:ascii="Times New Roman"/>
                <w:color w:val="000000"/>
                <w:sz w:val="21"/>
                <w:szCs w:val="21"/>
              </w:rPr>
              <w:t>0</w:t>
            </w:r>
          </w:p>
        </w:tc>
        <w:tc>
          <w:tcPr>
            <w:tcW w:w="976" w:type="pct"/>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62" w:type="pct"/>
            <w:shd w:val="clear" w:color="auto" w:fill="auto"/>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7</w:t>
            </w:r>
          </w:p>
        </w:tc>
        <w:tc>
          <w:tcPr>
            <w:tcW w:w="995" w:type="pct"/>
            <w:shd w:val="clear" w:color="auto" w:fill="auto"/>
            <w:noWrap/>
            <w:vAlign w:val="center"/>
          </w:tcPr>
          <w:p>
            <w:pPr>
              <w:spacing w:before="38" w:beforeLines="10" w:after="38" w:afterLines="10" w:line="300" w:lineRule="exact"/>
              <w:jc w:val="center"/>
              <w:rPr>
                <w:rFonts w:ascii="Times New Roman"/>
                <w:color w:val="000000"/>
                <w:sz w:val="21"/>
                <w:szCs w:val="21"/>
              </w:rPr>
            </w:pPr>
            <w:r>
              <w:rPr>
                <w:rFonts w:ascii="Calibri" w:hAnsi="Calibri" w:cs="Calibri"/>
                <w:sz w:val="21"/>
                <w:szCs w:val="21"/>
              </w:rPr>
              <w:t>电石用灰岩</w:t>
            </w:r>
          </w:p>
        </w:tc>
        <w:tc>
          <w:tcPr>
            <w:tcW w:w="738" w:type="pct"/>
            <w:shd w:val="clear" w:color="auto" w:fill="auto"/>
            <w:vAlign w:val="center"/>
          </w:tcPr>
          <w:p>
            <w:pPr>
              <w:spacing w:before="38" w:beforeLines="10" w:after="38" w:afterLines="10" w:line="300" w:lineRule="exact"/>
              <w:jc w:val="center"/>
              <w:rPr>
                <w:rFonts w:ascii="仿宋" w:hAnsi="仿宋"/>
                <w:color w:val="000000"/>
                <w:sz w:val="21"/>
                <w:szCs w:val="21"/>
              </w:rPr>
            </w:pPr>
            <w:r>
              <w:rPr>
                <w:rFonts w:ascii="仿宋" w:hAnsi="仿宋" w:cs="Calibri"/>
                <w:sz w:val="21"/>
                <w:szCs w:val="21"/>
              </w:rPr>
              <w:t>1</w:t>
            </w:r>
          </w:p>
        </w:tc>
        <w:tc>
          <w:tcPr>
            <w:tcW w:w="932" w:type="pct"/>
            <w:shd w:val="clear" w:color="auto" w:fill="auto"/>
            <w:noWrap/>
          </w:tcPr>
          <w:p>
            <w:pPr>
              <w:spacing w:before="38" w:beforeLines="10" w:after="38" w:afterLines="10" w:line="300" w:lineRule="exact"/>
              <w:jc w:val="center"/>
              <w:rPr>
                <w:rFonts w:ascii="Calibri" w:hAnsi="Calibri" w:cs="Calibri"/>
                <w:sz w:val="21"/>
                <w:szCs w:val="21"/>
              </w:rPr>
            </w:pPr>
            <w:r>
              <w:rPr>
                <w:rFonts w:ascii="Calibri" w:hAnsi="Calibri" w:cs="Calibri"/>
                <w:sz w:val="21"/>
                <w:szCs w:val="21"/>
              </w:rPr>
              <w:t>矿石/万吨</w:t>
            </w:r>
          </w:p>
        </w:tc>
        <w:tc>
          <w:tcPr>
            <w:tcW w:w="997" w:type="pct"/>
            <w:shd w:val="clear" w:color="auto" w:fill="auto"/>
            <w:noWrap/>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1</w:t>
            </w:r>
            <w:r>
              <w:rPr>
                <w:rFonts w:ascii="Times New Roman"/>
                <w:color w:val="000000"/>
                <w:sz w:val="21"/>
                <w:szCs w:val="21"/>
              </w:rPr>
              <w:t>86.51</w:t>
            </w:r>
          </w:p>
        </w:tc>
        <w:tc>
          <w:tcPr>
            <w:tcW w:w="976" w:type="pct"/>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264.69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62" w:type="pct"/>
            <w:shd w:val="clear" w:color="auto" w:fill="auto"/>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8</w:t>
            </w:r>
          </w:p>
        </w:tc>
        <w:tc>
          <w:tcPr>
            <w:tcW w:w="995" w:type="pct"/>
            <w:shd w:val="clear" w:color="auto" w:fill="auto"/>
            <w:noWrap/>
            <w:vAlign w:val="center"/>
          </w:tcPr>
          <w:p>
            <w:pPr>
              <w:spacing w:before="38" w:beforeLines="10" w:after="38" w:afterLines="10" w:line="300" w:lineRule="exact"/>
              <w:jc w:val="center"/>
              <w:rPr>
                <w:rFonts w:ascii="Times New Roman"/>
                <w:color w:val="000000"/>
                <w:sz w:val="21"/>
                <w:szCs w:val="21"/>
              </w:rPr>
            </w:pPr>
            <w:r>
              <w:rPr>
                <w:rFonts w:hint="eastAsia" w:ascii="Calibri" w:hAnsi="Calibri" w:cs="Calibri"/>
                <w:sz w:val="21"/>
                <w:szCs w:val="21"/>
              </w:rPr>
              <w:t>石灰岩</w:t>
            </w:r>
          </w:p>
        </w:tc>
        <w:tc>
          <w:tcPr>
            <w:tcW w:w="738" w:type="pct"/>
            <w:shd w:val="clear" w:color="auto" w:fill="auto"/>
            <w:vAlign w:val="center"/>
          </w:tcPr>
          <w:p>
            <w:pPr>
              <w:spacing w:before="38" w:beforeLines="10" w:after="38" w:afterLines="10" w:line="300" w:lineRule="exact"/>
              <w:jc w:val="center"/>
              <w:rPr>
                <w:rFonts w:ascii="仿宋" w:hAnsi="仿宋"/>
                <w:color w:val="000000"/>
                <w:sz w:val="21"/>
                <w:szCs w:val="21"/>
              </w:rPr>
            </w:pPr>
            <w:r>
              <w:rPr>
                <w:rFonts w:ascii="仿宋" w:hAnsi="仿宋" w:cs="Calibri"/>
                <w:sz w:val="21"/>
                <w:szCs w:val="21"/>
              </w:rPr>
              <w:t>3</w:t>
            </w:r>
          </w:p>
        </w:tc>
        <w:tc>
          <w:tcPr>
            <w:tcW w:w="932" w:type="pct"/>
            <w:shd w:val="clear" w:color="auto" w:fill="auto"/>
            <w:noWrap/>
          </w:tcPr>
          <w:p>
            <w:pPr>
              <w:spacing w:before="38" w:beforeLines="10" w:after="38" w:afterLines="10" w:line="300" w:lineRule="exact"/>
              <w:jc w:val="center"/>
              <w:rPr>
                <w:rFonts w:ascii="Calibri" w:hAnsi="Calibri" w:cs="Calibri"/>
                <w:sz w:val="21"/>
                <w:szCs w:val="21"/>
              </w:rPr>
            </w:pPr>
            <w:r>
              <w:rPr>
                <w:rFonts w:ascii="Calibri" w:hAnsi="Calibri" w:cs="Calibri"/>
                <w:sz w:val="21"/>
                <w:szCs w:val="21"/>
              </w:rPr>
              <w:t>矿石/万吨</w:t>
            </w:r>
          </w:p>
        </w:tc>
        <w:tc>
          <w:tcPr>
            <w:tcW w:w="997" w:type="pct"/>
            <w:shd w:val="clear" w:color="auto" w:fill="auto"/>
            <w:noWrap/>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5</w:t>
            </w:r>
            <w:r>
              <w:rPr>
                <w:rFonts w:ascii="Times New Roman"/>
                <w:color w:val="000000"/>
                <w:sz w:val="21"/>
                <w:szCs w:val="21"/>
              </w:rPr>
              <w:t>349</w:t>
            </w:r>
          </w:p>
        </w:tc>
        <w:tc>
          <w:tcPr>
            <w:tcW w:w="976" w:type="pct"/>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6</w:t>
            </w:r>
            <w:r>
              <w:rPr>
                <w:rFonts w:ascii="Times New Roman"/>
                <w:color w:val="000000"/>
                <w:sz w:val="21"/>
                <w:szCs w:val="21"/>
              </w:rPr>
              <w:t>380.83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362" w:type="pct"/>
            <w:shd w:val="clear" w:color="auto" w:fill="auto"/>
            <w:noWrap/>
          </w:tcPr>
          <w:p>
            <w:pPr>
              <w:spacing w:before="38" w:beforeLines="10" w:after="38" w:afterLines="10" w:line="300" w:lineRule="exact"/>
              <w:jc w:val="center"/>
              <w:rPr>
                <w:rFonts w:ascii="Times New Roman"/>
                <w:color w:val="000000"/>
                <w:sz w:val="21"/>
                <w:szCs w:val="21"/>
              </w:rPr>
            </w:pPr>
            <w:r>
              <w:rPr>
                <w:rFonts w:ascii="Times New Roman"/>
                <w:color w:val="000000"/>
                <w:sz w:val="21"/>
                <w:szCs w:val="21"/>
              </w:rPr>
              <w:t>9</w:t>
            </w:r>
          </w:p>
        </w:tc>
        <w:tc>
          <w:tcPr>
            <w:tcW w:w="995" w:type="pct"/>
            <w:shd w:val="clear" w:color="auto" w:fill="auto"/>
            <w:noWrap/>
            <w:vAlign w:val="center"/>
          </w:tcPr>
          <w:p>
            <w:pPr>
              <w:spacing w:before="38" w:beforeLines="10" w:after="38" w:afterLines="10" w:line="300" w:lineRule="exact"/>
              <w:jc w:val="center"/>
              <w:rPr>
                <w:rFonts w:ascii="Times New Roman"/>
                <w:color w:val="000000"/>
                <w:sz w:val="21"/>
                <w:szCs w:val="21"/>
              </w:rPr>
            </w:pPr>
            <w:r>
              <w:rPr>
                <w:rFonts w:ascii="Calibri" w:hAnsi="Calibri" w:cs="Calibri"/>
                <w:sz w:val="21"/>
                <w:szCs w:val="21"/>
              </w:rPr>
              <w:t>高岭土</w:t>
            </w:r>
          </w:p>
        </w:tc>
        <w:tc>
          <w:tcPr>
            <w:tcW w:w="738" w:type="pct"/>
            <w:shd w:val="clear" w:color="auto" w:fill="auto"/>
            <w:vAlign w:val="center"/>
          </w:tcPr>
          <w:p>
            <w:pPr>
              <w:spacing w:before="38" w:beforeLines="10" w:after="38" w:afterLines="10" w:line="300" w:lineRule="exact"/>
              <w:jc w:val="center"/>
              <w:rPr>
                <w:rFonts w:ascii="仿宋" w:hAnsi="仿宋"/>
                <w:color w:val="000000"/>
                <w:sz w:val="21"/>
                <w:szCs w:val="21"/>
              </w:rPr>
            </w:pPr>
            <w:r>
              <w:rPr>
                <w:rFonts w:ascii="仿宋" w:hAnsi="仿宋" w:cs="Calibri"/>
                <w:sz w:val="21"/>
                <w:szCs w:val="21"/>
              </w:rPr>
              <w:t>1</w:t>
            </w:r>
          </w:p>
        </w:tc>
        <w:tc>
          <w:tcPr>
            <w:tcW w:w="932" w:type="pct"/>
            <w:shd w:val="clear" w:color="auto" w:fill="auto"/>
            <w:noWrap/>
          </w:tcPr>
          <w:p>
            <w:pPr>
              <w:spacing w:before="38" w:beforeLines="10" w:after="38" w:afterLines="10" w:line="300" w:lineRule="exact"/>
              <w:jc w:val="center"/>
              <w:rPr>
                <w:rFonts w:ascii="Calibri" w:hAnsi="Calibri" w:cs="Calibri"/>
                <w:sz w:val="21"/>
                <w:szCs w:val="21"/>
              </w:rPr>
            </w:pPr>
            <w:r>
              <w:rPr>
                <w:rFonts w:ascii="Calibri" w:hAnsi="Calibri" w:cs="Calibri"/>
                <w:sz w:val="21"/>
                <w:szCs w:val="21"/>
              </w:rPr>
              <w:t>矿石/万吨</w:t>
            </w:r>
          </w:p>
        </w:tc>
        <w:tc>
          <w:tcPr>
            <w:tcW w:w="997" w:type="pct"/>
            <w:shd w:val="clear" w:color="auto" w:fill="auto"/>
            <w:noWrap/>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4</w:t>
            </w:r>
            <w:r>
              <w:rPr>
                <w:rFonts w:ascii="Times New Roman"/>
                <w:color w:val="000000"/>
                <w:sz w:val="21"/>
                <w:szCs w:val="21"/>
              </w:rPr>
              <w:t>.25</w:t>
            </w:r>
          </w:p>
        </w:tc>
        <w:tc>
          <w:tcPr>
            <w:tcW w:w="976" w:type="pct"/>
          </w:tcPr>
          <w:p>
            <w:pPr>
              <w:spacing w:before="38" w:beforeLines="10" w:after="38" w:afterLines="10" w:line="300" w:lineRule="exact"/>
              <w:jc w:val="center"/>
              <w:rPr>
                <w:rFonts w:ascii="Times New Roman"/>
                <w:color w:val="000000"/>
                <w:sz w:val="21"/>
                <w:szCs w:val="21"/>
              </w:rPr>
            </w:pPr>
            <w:r>
              <w:rPr>
                <w:rFonts w:hint="eastAsia" w:ascii="Times New Roman"/>
                <w:color w:val="000000"/>
                <w:sz w:val="21"/>
                <w:szCs w:val="21"/>
              </w:rPr>
              <w:t>4</w:t>
            </w:r>
            <w:r>
              <w:rPr>
                <w:rFonts w:ascii="Times New Roman"/>
                <w:color w:val="000000"/>
                <w:sz w:val="21"/>
                <w:szCs w:val="21"/>
              </w:rPr>
              <w:t>.25</w:t>
            </w:r>
          </w:p>
        </w:tc>
      </w:tr>
    </w:tbl>
    <w:p>
      <w:pPr>
        <w:spacing w:line="560" w:lineRule="exact"/>
        <w:ind w:firstLine="659" w:firstLineChars="200"/>
        <w:rPr>
          <w:rFonts w:ascii="仿宋_GB2312" w:eastAsia="仿宋_GB2312"/>
          <w:sz w:val="32"/>
          <w:szCs w:val="32"/>
        </w:rPr>
      </w:pPr>
      <w:r>
        <w:rPr>
          <w:rFonts w:ascii="Times New Roman" w:eastAsia="仿宋_GB2312"/>
          <w:b/>
          <w:sz w:val="32"/>
          <w:szCs w:val="32"/>
        </w:rPr>
        <w:t>基础地质调查现状。</w:t>
      </w:r>
      <w:r>
        <w:rPr>
          <w:rFonts w:ascii="Times New Roman" w:eastAsia="仿宋_GB2312"/>
          <w:sz w:val="32"/>
          <w:szCs w:val="32"/>
        </w:rPr>
        <w:t>1:100万、1:20万区域地质调查</w:t>
      </w:r>
      <w:r>
        <w:rPr>
          <w:rFonts w:hint="eastAsia" w:ascii="Times New Roman" w:eastAsia="仿宋_GB2312"/>
          <w:sz w:val="32"/>
          <w:szCs w:val="32"/>
        </w:rPr>
        <w:t>已完成</w:t>
      </w:r>
      <w:r>
        <w:rPr>
          <w:rFonts w:ascii="Times New Roman" w:eastAsia="仿宋_GB2312"/>
          <w:sz w:val="32"/>
          <w:szCs w:val="32"/>
        </w:rPr>
        <w:t>；1:25万区域地质矿产调查</w:t>
      </w:r>
      <w:r>
        <w:rPr>
          <w:rFonts w:hint="eastAsia" w:ascii="Times New Roman" w:eastAsia="仿宋_GB2312"/>
          <w:sz w:val="32"/>
          <w:szCs w:val="32"/>
        </w:rPr>
        <w:t>已完成；</w:t>
      </w:r>
      <w:r>
        <w:rPr>
          <w:rFonts w:ascii="Times New Roman" w:eastAsia="仿宋_GB2312"/>
          <w:sz w:val="32"/>
          <w:szCs w:val="32"/>
        </w:rPr>
        <w:t>1:5万区域地质矿产调查</w:t>
      </w:r>
      <w:r>
        <w:rPr>
          <w:rFonts w:hint="eastAsia" w:ascii="Times New Roman" w:eastAsia="仿宋_GB2312"/>
          <w:sz w:val="32"/>
          <w:szCs w:val="32"/>
        </w:rPr>
        <w:t>已完成可测区域</w:t>
      </w:r>
      <w:r>
        <w:rPr>
          <w:rFonts w:ascii="Times New Roman" w:eastAsia="仿宋_GB2312"/>
          <w:sz w:val="32"/>
          <w:szCs w:val="32"/>
        </w:rPr>
        <w:t>；1:20万化探已</w:t>
      </w:r>
      <w:r>
        <w:rPr>
          <w:rFonts w:hint="eastAsia" w:ascii="Times New Roman" w:eastAsia="仿宋_GB2312"/>
          <w:sz w:val="32"/>
          <w:szCs w:val="32"/>
        </w:rPr>
        <w:t>完成</w:t>
      </w:r>
      <w:r>
        <w:rPr>
          <w:rFonts w:ascii="Times New Roman" w:eastAsia="仿宋_GB2312"/>
          <w:sz w:val="32"/>
          <w:szCs w:val="32"/>
        </w:rPr>
        <w:t>，1:100万、1:20万航磁测量</w:t>
      </w:r>
      <w:r>
        <w:rPr>
          <w:rFonts w:hint="eastAsia" w:ascii="Times New Roman" w:eastAsia="仿宋_GB2312"/>
          <w:sz w:val="32"/>
          <w:szCs w:val="32"/>
        </w:rPr>
        <w:t>已完成</w:t>
      </w:r>
      <w:r>
        <w:rPr>
          <w:rFonts w:ascii="Times New Roman" w:eastAsia="仿宋_GB2312"/>
          <w:sz w:val="32"/>
          <w:szCs w:val="32"/>
        </w:rPr>
        <w:t>，1:25万多目标地球化学调查完成1850平方千米，基础地质调查程度较高。</w:t>
      </w:r>
    </w:p>
    <w:p>
      <w:pPr>
        <w:spacing w:line="560" w:lineRule="exact"/>
        <w:ind w:firstLine="659" w:firstLineChars="200"/>
        <w:rPr>
          <w:rFonts w:ascii="Times New Roman" w:eastAsia="仿宋_GB2312"/>
          <w:sz w:val="32"/>
          <w:szCs w:val="32"/>
        </w:rPr>
      </w:pPr>
      <w:r>
        <w:rPr>
          <w:rFonts w:ascii="Times New Roman" w:eastAsia="仿宋_GB2312"/>
          <w:b/>
          <w:sz w:val="32"/>
          <w:szCs w:val="32"/>
        </w:rPr>
        <w:t>矿产资源勘查现状。</w:t>
      </w:r>
      <w:bookmarkStart w:id="13" w:name="OLE_LINK2"/>
      <w:bookmarkStart w:id="14" w:name="OLE_LINK1"/>
      <w:r>
        <w:rPr>
          <w:rFonts w:ascii="Times New Roman" w:eastAsia="仿宋_GB2312"/>
          <w:sz w:val="32"/>
          <w:szCs w:val="32"/>
        </w:rPr>
        <w:t>截至2020年底，全县共有探矿权20个，勘查矿种以煤、金、铜、铁、铅、石灰岩为主，其中煤炭6个、铜矿5个、金矿6个、铁矿1个、铅矿1个、石灰岩矿1个，地质工作程度较高，普查项目1个，详查项目1个，勘探项目18个。</w:t>
      </w:r>
      <w:bookmarkEnd w:id="13"/>
      <w:bookmarkEnd w:id="14"/>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4"/>
        <w:gridCol w:w="4619"/>
        <w:gridCol w:w="1134"/>
        <w:gridCol w:w="851"/>
        <w:gridCol w:w="1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5"/>
            <w:vAlign w:val="center"/>
          </w:tcPr>
          <w:p>
            <w:pPr>
              <w:spacing w:line="240" w:lineRule="auto"/>
              <w:rPr>
                <w:rFonts w:ascii="仿宋" w:hAnsi="仿宋"/>
                <w:sz w:val="21"/>
                <w:szCs w:val="21"/>
              </w:rPr>
            </w:pPr>
            <w:r>
              <w:rPr>
                <w:rFonts w:hint="eastAsia" w:ascii="Times New Roman" w:eastAsia="仿宋_GB2312"/>
                <w:b/>
                <w:bCs/>
                <w:sz w:val="21"/>
                <w:szCs w:val="21"/>
              </w:rPr>
              <w:t>专栏</w:t>
            </w:r>
            <w:r>
              <w:rPr>
                <w:rFonts w:ascii="Times New Roman" w:eastAsia="仿宋_GB2312"/>
                <w:b/>
                <w:bCs/>
                <w:sz w:val="21"/>
                <w:szCs w:val="21"/>
              </w:rPr>
              <w:t xml:space="preserve">2                                         </w:t>
            </w:r>
            <w:r>
              <w:rPr>
                <w:rFonts w:hint="eastAsia" w:ascii="Times New Roman" w:eastAsia="仿宋_GB2312"/>
                <w:b/>
                <w:bCs/>
                <w:sz w:val="21"/>
                <w:szCs w:val="21"/>
              </w:rPr>
              <w:t>截至2</w:t>
            </w:r>
            <w:r>
              <w:rPr>
                <w:rFonts w:ascii="Times New Roman" w:eastAsia="仿宋_GB2312"/>
                <w:b/>
                <w:bCs/>
                <w:sz w:val="21"/>
                <w:szCs w:val="21"/>
              </w:rPr>
              <w:t>020</w:t>
            </w:r>
            <w:r>
              <w:rPr>
                <w:rFonts w:hint="eastAsia" w:ascii="Times New Roman" w:eastAsia="仿宋_GB2312"/>
                <w:b/>
                <w:bCs/>
                <w:sz w:val="21"/>
                <w:szCs w:val="21"/>
              </w:rPr>
              <w:t>年底伊宁县已设探矿权一览表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ascii="Times New Roman" w:eastAsia="仿宋_GB2312"/>
                <w:sz w:val="21"/>
                <w:szCs w:val="21"/>
              </w:rPr>
              <w:t>序号</w:t>
            </w:r>
          </w:p>
        </w:tc>
        <w:tc>
          <w:tcPr>
            <w:tcW w:w="4619" w:type="dxa"/>
            <w:vAlign w:val="center"/>
          </w:tcPr>
          <w:p>
            <w:pPr>
              <w:spacing w:line="240" w:lineRule="auto"/>
              <w:jc w:val="center"/>
              <w:rPr>
                <w:rFonts w:ascii="仿宋" w:hAnsi="仿宋"/>
                <w:sz w:val="21"/>
                <w:szCs w:val="21"/>
              </w:rPr>
            </w:pPr>
            <w:r>
              <w:rPr>
                <w:rFonts w:ascii="Times New Roman" w:eastAsia="仿宋_GB2312"/>
                <w:sz w:val="21"/>
                <w:szCs w:val="21"/>
              </w:rPr>
              <w:t>勘查项目名称</w:t>
            </w:r>
          </w:p>
        </w:tc>
        <w:tc>
          <w:tcPr>
            <w:tcW w:w="1134" w:type="dxa"/>
            <w:vAlign w:val="center"/>
          </w:tcPr>
          <w:p>
            <w:pPr>
              <w:spacing w:line="240" w:lineRule="auto"/>
              <w:jc w:val="center"/>
              <w:rPr>
                <w:rFonts w:ascii="仿宋" w:hAnsi="仿宋"/>
                <w:sz w:val="21"/>
                <w:szCs w:val="21"/>
              </w:rPr>
            </w:pPr>
            <w:r>
              <w:rPr>
                <w:rFonts w:ascii="Times New Roman" w:eastAsia="仿宋_GB2312"/>
                <w:sz w:val="21"/>
                <w:szCs w:val="21"/>
              </w:rPr>
              <w:t>勘查矿种</w:t>
            </w:r>
          </w:p>
        </w:tc>
        <w:tc>
          <w:tcPr>
            <w:tcW w:w="851" w:type="dxa"/>
            <w:vAlign w:val="center"/>
          </w:tcPr>
          <w:p>
            <w:pPr>
              <w:spacing w:line="240" w:lineRule="auto"/>
              <w:jc w:val="center"/>
              <w:rPr>
                <w:rFonts w:ascii="仿宋" w:hAnsi="仿宋"/>
                <w:sz w:val="21"/>
                <w:szCs w:val="21"/>
              </w:rPr>
            </w:pPr>
            <w:r>
              <w:rPr>
                <w:rFonts w:hint="eastAsia" w:ascii="仿宋" w:hAnsi="仿宋"/>
                <w:sz w:val="21"/>
                <w:szCs w:val="21"/>
              </w:rPr>
              <w:t>勘查程度</w:t>
            </w:r>
          </w:p>
        </w:tc>
        <w:tc>
          <w:tcPr>
            <w:tcW w:w="1609" w:type="dxa"/>
            <w:vAlign w:val="center"/>
          </w:tcPr>
          <w:p>
            <w:pPr>
              <w:spacing w:line="360" w:lineRule="exact"/>
              <w:jc w:val="center"/>
              <w:rPr>
                <w:rFonts w:ascii="Times New Roman" w:eastAsia="仿宋_GB2312"/>
                <w:sz w:val="21"/>
                <w:szCs w:val="21"/>
              </w:rPr>
            </w:pPr>
            <w:r>
              <w:rPr>
                <w:rFonts w:ascii="Times New Roman" w:eastAsia="仿宋_GB2312"/>
                <w:sz w:val="21"/>
                <w:szCs w:val="21"/>
              </w:rPr>
              <w:t>勘查面积</w:t>
            </w:r>
          </w:p>
          <w:p>
            <w:pPr>
              <w:spacing w:line="240" w:lineRule="auto"/>
              <w:jc w:val="center"/>
              <w:rPr>
                <w:rFonts w:ascii="仿宋" w:hAnsi="仿宋"/>
                <w:sz w:val="21"/>
                <w:szCs w:val="21"/>
              </w:rPr>
            </w:pPr>
            <w:r>
              <w:rPr>
                <w:rFonts w:ascii="Times New Roman" w:eastAsia="仿宋_GB2312"/>
                <w:sz w:val="21"/>
                <w:szCs w:val="21"/>
              </w:rPr>
              <w:t>（</w:t>
            </w:r>
            <w:r>
              <w:rPr>
                <w:rFonts w:hint="eastAsia" w:ascii="Times New Roman" w:eastAsia="仿宋_GB2312"/>
                <w:sz w:val="21"/>
                <w:szCs w:val="21"/>
              </w:rPr>
              <w:t>平方千米</w:t>
            </w:r>
            <w:r>
              <w:rPr>
                <w:rFonts w:ascii="Times New Roman"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ascii="Times New Roman" w:eastAsia="仿宋_GB2312"/>
                <w:sz w:val="21"/>
                <w:szCs w:val="21"/>
              </w:rPr>
              <w:t>1</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新疆伊宁县琼布拉克铜矿详查</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铜矿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详查</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6.03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ascii="Times New Roman" w:eastAsia="仿宋_GB2312"/>
                <w:sz w:val="21"/>
                <w:szCs w:val="21"/>
              </w:rPr>
              <w:t>2</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新疆伊宁县恰布坎卓它一带金矿勘探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金矿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ascii="Times New Roman" w:eastAsia="仿宋_GB2312"/>
                <w:sz w:val="21"/>
                <w:szCs w:val="21"/>
              </w:rPr>
              <w:t>3</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lang w:eastAsia="zh-CN"/>
              </w:rPr>
              <w:t>（</w:t>
            </w:r>
            <w:r>
              <w:rPr>
                <w:rFonts w:hint="eastAsia" w:ascii="Times New Roman" w:eastAsia="仿宋_GB2312"/>
                <w:sz w:val="21"/>
                <w:szCs w:val="21"/>
              </w:rPr>
              <w:t>招拍挂</w:t>
            </w:r>
            <w:r>
              <w:rPr>
                <w:rFonts w:hint="eastAsia" w:ascii="Times New Roman" w:eastAsia="仿宋_GB2312"/>
                <w:sz w:val="21"/>
                <w:szCs w:val="21"/>
                <w:lang w:eastAsia="zh-CN"/>
              </w:rPr>
              <w:t>）</w:t>
            </w:r>
            <w:r>
              <w:rPr>
                <w:rFonts w:hint="eastAsia" w:ascii="Times New Roman" w:eastAsia="仿宋_GB2312"/>
                <w:sz w:val="21"/>
                <w:szCs w:val="21"/>
              </w:rPr>
              <w:t>新疆伊宁县阿克塔什北石灰岩矿普查</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石灰岩</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普查</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ascii="Times New Roman" w:eastAsia="仿宋_GB2312"/>
                <w:sz w:val="21"/>
                <w:szCs w:val="21"/>
              </w:rPr>
              <w:t>4</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新疆伊宁县塔乌尔别克金矿勘探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金矿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11.56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ascii="Times New Roman" w:eastAsia="仿宋_GB2312"/>
                <w:sz w:val="21"/>
                <w:szCs w:val="21"/>
              </w:rPr>
              <w:t>5</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新疆伊宁县金山外围金矿勘探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金矿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11.08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ascii="Times New Roman" w:eastAsia="仿宋_GB2312"/>
                <w:sz w:val="21"/>
                <w:szCs w:val="21"/>
              </w:rPr>
              <w:t>6</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新疆伊宁县塔北铅锌矿勘探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铅矿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5.87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ascii="Times New Roman" w:eastAsia="仿宋_GB2312"/>
                <w:sz w:val="21"/>
                <w:szCs w:val="21"/>
              </w:rPr>
              <w:t>7</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新疆伊宁县皮里青沟西部煤炭勘探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7.60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8</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新疆伊宁县喀拉布拉克一带铜矿勘探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铜矿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36.56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9</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新疆伊宁县乌郎达坂卡查可让--结尔勒苏萨依一带铜矿勘探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铜矿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1</w:t>
            </w:r>
            <w:r>
              <w:rPr>
                <w:rFonts w:ascii="Times New Roman" w:eastAsia="仿宋_GB2312"/>
                <w:sz w:val="21"/>
                <w:szCs w:val="21"/>
              </w:rPr>
              <w:t>0</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新疆伊宁县潘津工业煤矿勘探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1</w:t>
            </w:r>
            <w:r>
              <w:rPr>
                <w:rFonts w:ascii="Times New Roman" w:eastAsia="仿宋_GB2312"/>
                <w:sz w:val="21"/>
                <w:szCs w:val="21"/>
              </w:rPr>
              <w:t>1</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新疆伊宁县达达木图煤矿勘探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5.19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1</w:t>
            </w:r>
            <w:r>
              <w:rPr>
                <w:rFonts w:ascii="Times New Roman" w:eastAsia="仿宋_GB2312"/>
                <w:sz w:val="21"/>
                <w:szCs w:val="21"/>
              </w:rPr>
              <w:t>2</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新疆伊宁县那棱萨依金矿勘探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金矿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9.74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1</w:t>
            </w:r>
            <w:r>
              <w:rPr>
                <w:rFonts w:ascii="Times New Roman" w:eastAsia="仿宋_GB2312"/>
                <w:sz w:val="21"/>
                <w:szCs w:val="21"/>
              </w:rPr>
              <w:t>3</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新疆伊宁县塔勒德金矿勘探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金矿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1</w:t>
            </w:r>
            <w:r>
              <w:rPr>
                <w:rFonts w:ascii="Times New Roman" w:eastAsia="仿宋_GB2312"/>
                <w:sz w:val="21"/>
                <w:szCs w:val="21"/>
              </w:rPr>
              <w:t>4</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新疆伊宁县潘津乡乌鲁木-吐拉苏一带金矿勘探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金矿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18.40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1</w:t>
            </w:r>
            <w:r>
              <w:rPr>
                <w:rFonts w:ascii="Times New Roman" w:eastAsia="仿宋_GB2312"/>
                <w:sz w:val="21"/>
                <w:szCs w:val="21"/>
              </w:rPr>
              <w:t>5</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 xml:space="preserve">新疆伊宁县潘津乡克峡希一带铜矿勘探 </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铜矿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4.63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1</w:t>
            </w:r>
            <w:r>
              <w:rPr>
                <w:rFonts w:ascii="Times New Roman" w:eastAsia="仿宋_GB2312"/>
                <w:sz w:val="21"/>
                <w:szCs w:val="21"/>
              </w:rPr>
              <w:t>6</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新疆伊宁县皮里青煤矿河东Ⅱ井田勘探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15.44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1</w:t>
            </w:r>
            <w:r>
              <w:rPr>
                <w:rFonts w:ascii="Times New Roman" w:eastAsia="仿宋_GB2312"/>
                <w:sz w:val="21"/>
                <w:szCs w:val="21"/>
              </w:rPr>
              <w:t>7</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新疆伊宁县煤田苏勒萨依井田勘探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1</w:t>
            </w:r>
            <w:r>
              <w:rPr>
                <w:rFonts w:ascii="Times New Roman" w:eastAsia="仿宋_GB2312"/>
                <w:sz w:val="21"/>
                <w:szCs w:val="21"/>
              </w:rPr>
              <w:t>8</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新疆伊宁县阔库确科铁铜矿勘探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铁矿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1</w:t>
            </w:r>
            <w:r>
              <w:rPr>
                <w:rFonts w:ascii="Times New Roman" w:eastAsia="仿宋_GB2312"/>
                <w:sz w:val="21"/>
                <w:szCs w:val="21"/>
              </w:rPr>
              <w:t>9</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新疆伊宁县吉尔格朗至喀赞其煤矿勘探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10.80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仿宋" w:hAnsi="仿宋"/>
                <w:sz w:val="21"/>
                <w:szCs w:val="21"/>
              </w:rPr>
            </w:pPr>
            <w:r>
              <w:rPr>
                <w:rFonts w:hint="eastAsia" w:ascii="Times New Roman" w:eastAsia="仿宋_GB2312"/>
                <w:sz w:val="21"/>
                <w:szCs w:val="21"/>
              </w:rPr>
              <w:t>2</w:t>
            </w:r>
            <w:r>
              <w:rPr>
                <w:rFonts w:ascii="Times New Roman" w:eastAsia="仿宋_GB2312"/>
                <w:sz w:val="21"/>
                <w:szCs w:val="21"/>
              </w:rPr>
              <w:t>0</w:t>
            </w:r>
          </w:p>
        </w:tc>
        <w:tc>
          <w:tcPr>
            <w:tcW w:w="4619"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新疆伊宁县伊尔曼德西金矿勘探</w:t>
            </w:r>
          </w:p>
        </w:tc>
        <w:tc>
          <w:tcPr>
            <w:tcW w:w="1134"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铜矿</w:t>
            </w:r>
          </w:p>
        </w:tc>
        <w:tc>
          <w:tcPr>
            <w:tcW w:w="851" w:type="dxa"/>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勘探</w:t>
            </w:r>
          </w:p>
        </w:tc>
        <w:tc>
          <w:tcPr>
            <w:tcW w:w="1609" w:type="dxa"/>
            <w:vAlign w:val="center"/>
          </w:tcPr>
          <w:p>
            <w:pPr>
              <w:spacing w:line="240" w:lineRule="auto"/>
              <w:jc w:val="center"/>
              <w:rPr>
                <w:rFonts w:ascii="仿宋" w:hAnsi="仿宋"/>
                <w:sz w:val="21"/>
                <w:szCs w:val="21"/>
              </w:rPr>
            </w:pPr>
            <w:r>
              <w:rPr>
                <w:rFonts w:ascii="Times New Roman" w:eastAsia="等线"/>
                <w:sz w:val="21"/>
                <w:szCs w:val="21"/>
              </w:rPr>
              <w:t>30.09</w:t>
            </w:r>
          </w:p>
        </w:tc>
      </w:tr>
      <w:bookmarkEnd w:id="0"/>
      <w:bookmarkEnd w:id="1"/>
      <w:bookmarkEnd w:id="2"/>
      <w:bookmarkEnd w:id="3"/>
      <w:bookmarkEnd w:id="4"/>
      <w:bookmarkEnd w:id="5"/>
      <w:bookmarkEnd w:id="6"/>
      <w:bookmarkEnd w:id="7"/>
      <w:bookmarkEnd w:id="8"/>
      <w:bookmarkEnd w:id="9"/>
      <w:bookmarkEnd w:id="10"/>
    </w:tbl>
    <w:p>
      <w:pPr>
        <w:spacing w:line="560" w:lineRule="exact"/>
        <w:ind w:firstLine="659" w:firstLineChars="200"/>
        <w:rPr>
          <w:rFonts w:ascii="Times New Roman" w:eastAsia="仿宋_GB2312"/>
          <w:sz w:val="32"/>
          <w:szCs w:val="32"/>
        </w:rPr>
      </w:pPr>
      <w:r>
        <w:rPr>
          <w:rFonts w:ascii="Times New Roman" w:eastAsia="仿宋_GB2312"/>
          <w:b/>
          <w:sz w:val="32"/>
          <w:szCs w:val="32"/>
        </w:rPr>
        <w:t>开发利用现状。</w:t>
      </w:r>
      <w:r>
        <w:rPr>
          <w:rFonts w:ascii="Times New Roman" w:eastAsia="仿宋_GB2312"/>
          <w:sz w:val="32"/>
          <w:szCs w:val="32"/>
        </w:rPr>
        <w:t>截至2020年底，伊宁县已开发利用的矿产16种</w:t>
      </w:r>
      <w:r>
        <w:rPr>
          <w:rFonts w:hint="eastAsia" w:ascii="Times New Roman" w:eastAsia="仿宋_GB2312"/>
          <w:sz w:val="32"/>
          <w:szCs w:val="32"/>
        </w:rPr>
        <w:t>，</w:t>
      </w:r>
      <w:r>
        <w:rPr>
          <w:rFonts w:ascii="Times New Roman" w:eastAsia="仿宋_GB2312"/>
          <w:sz w:val="32"/>
          <w:szCs w:val="32"/>
        </w:rPr>
        <w:t>主要利用的有煤、金、铜、铅、石灰岩、高岭土、陶粒页岩、建筑用砂、砖瓦用粘土矿产，形成了以煤炭、黄金、非金属建材为主的矿产资源开发格局。</w:t>
      </w:r>
      <w:r>
        <w:rPr>
          <w:rFonts w:hint="eastAsia" w:ascii="Times New Roman" w:eastAsia="仿宋_GB2312"/>
          <w:sz w:val="32"/>
          <w:szCs w:val="32"/>
        </w:rPr>
        <w:t>共有采矿权</w:t>
      </w:r>
      <w:r>
        <w:rPr>
          <w:rFonts w:ascii="Times New Roman" w:eastAsia="仿宋_GB2312"/>
          <w:sz w:val="32"/>
          <w:szCs w:val="32"/>
        </w:rPr>
        <w:t>47</w:t>
      </w:r>
      <w:r>
        <w:rPr>
          <w:rFonts w:hint="eastAsia" w:ascii="Times New Roman" w:eastAsia="仿宋_GB2312"/>
          <w:sz w:val="32"/>
          <w:szCs w:val="32"/>
        </w:rPr>
        <w:t>个，其中大型3个，中型1</w:t>
      </w:r>
      <w:r>
        <w:rPr>
          <w:rFonts w:ascii="Times New Roman" w:eastAsia="仿宋_GB2312"/>
          <w:sz w:val="32"/>
          <w:szCs w:val="32"/>
        </w:rPr>
        <w:t>8</w:t>
      </w:r>
      <w:r>
        <w:rPr>
          <w:rFonts w:hint="eastAsia" w:ascii="Times New Roman" w:eastAsia="仿宋_GB2312"/>
          <w:sz w:val="32"/>
          <w:szCs w:val="32"/>
        </w:rPr>
        <w:t>个，小型</w:t>
      </w:r>
      <w:r>
        <w:rPr>
          <w:rFonts w:ascii="Times New Roman" w:eastAsia="仿宋_GB2312"/>
          <w:sz w:val="32"/>
          <w:szCs w:val="32"/>
        </w:rPr>
        <w:t>26</w:t>
      </w:r>
      <w:r>
        <w:rPr>
          <w:rFonts w:hint="eastAsia" w:ascii="Times New Roman" w:eastAsia="仿宋_GB2312"/>
          <w:sz w:val="32"/>
          <w:szCs w:val="32"/>
        </w:rPr>
        <w:t>个，</w:t>
      </w:r>
      <w:r>
        <w:rPr>
          <w:rFonts w:ascii="Times New Roman" w:eastAsia="仿宋_GB2312"/>
          <w:sz w:val="32"/>
          <w:szCs w:val="32"/>
        </w:rPr>
        <w:t>大中型矿山占比44.68 %</w:t>
      </w:r>
      <w:r>
        <w:rPr>
          <w:rFonts w:hint="eastAsia" w:ascii="Times New Roman" w:eastAsia="仿宋_GB2312"/>
          <w:sz w:val="32"/>
          <w:szCs w:val="32"/>
        </w:rPr>
        <w:t>。</w:t>
      </w:r>
      <w:r>
        <w:rPr>
          <w:rFonts w:ascii="Times New Roman" w:eastAsia="仿宋_GB2312"/>
          <w:sz w:val="32"/>
          <w:szCs w:val="32"/>
        </w:rPr>
        <w:t>2020年实现矿业总产值29.85亿元，占伊宁县工业总产值的46.08%。</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7"/>
        <w:gridCol w:w="3700"/>
        <w:gridCol w:w="1161"/>
        <w:gridCol w:w="1631"/>
        <w:gridCol w:w="1204"/>
        <w:gridCol w:w="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gridSpan w:val="6"/>
            <w:vAlign w:val="center"/>
          </w:tcPr>
          <w:p>
            <w:pPr>
              <w:tabs>
                <w:tab w:val="left" w:pos="1896"/>
              </w:tabs>
              <w:spacing w:line="240" w:lineRule="auto"/>
              <w:jc w:val="left"/>
              <w:rPr>
                <w:rFonts w:ascii="Times New Roman" w:eastAsia="仿宋_GB2312"/>
                <w:bCs/>
                <w:sz w:val="21"/>
                <w:szCs w:val="21"/>
              </w:rPr>
            </w:pPr>
            <w:r>
              <w:rPr>
                <w:rFonts w:hint="eastAsia" w:ascii="Times New Roman" w:eastAsia="仿宋_GB2312"/>
                <w:b/>
                <w:bCs/>
                <w:sz w:val="21"/>
                <w:szCs w:val="21"/>
              </w:rPr>
              <w:t>专栏</w:t>
            </w:r>
            <w:r>
              <w:rPr>
                <w:rFonts w:ascii="Times New Roman" w:eastAsia="仿宋_GB2312"/>
                <w:b/>
                <w:bCs/>
                <w:sz w:val="21"/>
                <w:szCs w:val="21"/>
              </w:rPr>
              <w:t xml:space="preserve">3                                         </w:t>
            </w:r>
            <w:r>
              <w:rPr>
                <w:rFonts w:hint="eastAsia" w:ascii="Times New Roman" w:eastAsia="仿宋_GB2312"/>
                <w:b/>
                <w:bCs/>
                <w:sz w:val="21"/>
                <w:szCs w:val="21"/>
              </w:rPr>
              <w:t>截至2</w:t>
            </w:r>
            <w:r>
              <w:rPr>
                <w:rFonts w:ascii="Times New Roman" w:eastAsia="仿宋_GB2312"/>
                <w:b/>
                <w:bCs/>
                <w:sz w:val="21"/>
                <w:szCs w:val="21"/>
              </w:rPr>
              <w:t>020</w:t>
            </w:r>
            <w:r>
              <w:rPr>
                <w:rFonts w:hint="eastAsia" w:ascii="Times New Roman" w:eastAsia="仿宋_GB2312"/>
                <w:b/>
                <w:bCs/>
                <w:sz w:val="21"/>
                <w:szCs w:val="21"/>
              </w:rPr>
              <w:t>年底伊宁县已设采矿权一览表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Times New Roman" w:eastAsia="仿宋_GB2312"/>
                <w:bCs/>
                <w:sz w:val="21"/>
                <w:szCs w:val="21"/>
              </w:rPr>
            </w:pPr>
            <w:r>
              <w:rPr>
                <w:rFonts w:hint="eastAsia" w:ascii="Times New Roman" w:eastAsia="仿宋_GB2312"/>
                <w:bCs/>
                <w:sz w:val="21"/>
                <w:szCs w:val="21"/>
              </w:rPr>
              <w:t>序号</w:t>
            </w:r>
          </w:p>
        </w:tc>
        <w:tc>
          <w:tcPr>
            <w:tcW w:w="0" w:type="auto"/>
            <w:vAlign w:val="center"/>
          </w:tcPr>
          <w:p>
            <w:pPr>
              <w:tabs>
                <w:tab w:val="left" w:pos="1896"/>
              </w:tabs>
              <w:spacing w:line="240" w:lineRule="auto"/>
              <w:jc w:val="center"/>
              <w:rPr>
                <w:rFonts w:ascii="Times New Roman" w:eastAsia="仿宋_GB2312"/>
                <w:bCs/>
                <w:sz w:val="21"/>
                <w:szCs w:val="21"/>
              </w:rPr>
            </w:pPr>
            <w:r>
              <w:rPr>
                <w:rFonts w:hint="eastAsia" w:ascii="Times New Roman" w:eastAsia="仿宋_GB2312"/>
                <w:bCs/>
                <w:sz w:val="21"/>
                <w:szCs w:val="21"/>
              </w:rPr>
              <w:t>矿山名称</w:t>
            </w:r>
          </w:p>
        </w:tc>
        <w:tc>
          <w:tcPr>
            <w:tcW w:w="1161" w:type="dxa"/>
            <w:vAlign w:val="center"/>
          </w:tcPr>
          <w:p>
            <w:pPr>
              <w:tabs>
                <w:tab w:val="left" w:pos="1896"/>
              </w:tabs>
              <w:spacing w:line="240" w:lineRule="auto"/>
              <w:jc w:val="center"/>
              <w:rPr>
                <w:rFonts w:ascii="Times New Roman" w:eastAsia="仿宋_GB2312"/>
                <w:bCs/>
                <w:sz w:val="21"/>
                <w:szCs w:val="21"/>
              </w:rPr>
            </w:pPr>
            <w:r>
              <w:rPr>
                <w:rFonts w:hint="eastAsia" w:ascii="Times New Roman" w:eastAsia="仿宋_GB2312"/>
                <w:bCs/>
                <w:sz w:val="21"/>
                <w:szCs w:val="21"/>
              </w:rPr>
              <w:t>矿种</w:t>
            </w:r>
          </w:p>
        </w:tc>
        <w:tc>
          <w:tcPr>
            <w:tcW w:w="1631" w:type="dxa"/>
            <w:vAlign w:val="center"/>
          </w:tcPr>
          <w:p>
            <w:pPr>
              <w:widowControl/>
              <w:adjustRightInd/>
              <w:snapToGrid/>
              <w:spacing w:line="320" w:lineRule="exact"/>
              <w:jc w:val="center"/>
              <w:rPr>
                <w:rFonts w:ascii="Times New Roman" w:eastAsia="仿宋_GB2312"/>
                <w:bCs/>
                <w:sz w:val="21"/>
                <w:szCs w:val="21"/>
              </w:rPr>
            </w:pPr>
            <w:r>
              <w:rPr>
                <w:rFonts w:hint="eastAsia" w:ascii="Times New Roman" w:eastAsia="仿宋_GB2312"/>
                <w:bCs/>
                <w:sz w:val="21"/>
                <w:szCs w:val="21"/>
              </w:rPr>
              <w:t>面积</w:t>
            </w:r>
          </w:p>
          <w:p>
            <w:pPr>
              <w:tabs>
                <w:tab w:val="left" w:pos="1896"/>
              </w:tabs>
              <w:spacing w:line="240" w:lineRule="auto"/>
              <w:jc w:val="center"/>
              <w:rPr>
                <w:rFonts w:ascii="Times New Roman" w:eastAsia="仿宋_GB2312"/>
                <w:bCs/>
                <w:sz w:val="21"/>
                <w:szCs w:val="21"/>
              </w:rPr>
            </w:pPr>
            <w:r>
              <w:rPr>
                <w:rFonts w:hint="eastAsia" w:ascii="Times New Roman" w:eastAsia="仿宋_GB2312"/>
                <w:bCs/>
                <w:sz w:val="21"/>
                <w:szCs w:val="21"/>
              </w:rPr>
              <w:t>（</w:t>
            </w:r>
            <w:r>
              <w:rPr>
                <w:rFonts w:hint="eastAsia" w:ascii="Times New Roman" w:eastAsia="仿宋_GB2312"/>
                <w:sz w:val="21"/>
                <w:szCs w:val="21"/>
              </w:rPr>
              <w:t>平方千米</w:t>
            </w:r>
            <w:r>
              <w:rPr>
                <w:rFonts w:hint="eastAsia" w:ascii="Times New Roman" w:eastAsia="仿宋_GB2312"/>
                <w:bCs/>
                <w:sz w:val="21"/>
                <w:szCs w:val="21"/>
              </w:rPr>
              <w:t>）</w:t>
            </w:r>
          </w:p>
        </w:tc>
        <w:tc>
          <w:tcPr>
            <w:tcW w:w="0" w:type="auto"/>
            <w:vAlign w:val="center"/>
          </w:tcPr>
          <w:p>
            <w:pPr>
              <w:tabs>
                <w:tab w:val="left" w:pos="1896"/>
              </w:tabs>
              <w:spacing w:line="240" w:lineRule="auto"/>
              <w:jc w:val="center"/>
              <w:rPr>
                <w:rFonts w:ascii="Times New Roman" w:eastAsia="仿宋_GB2312"/>
                <w:bCs/>
                <w:sz w:val="21"/>
                <w:szCs w:val="21"/>
              </w:rPr>
            </w:pPr>
            <w:r>
              <w:rPr>
                <w:rFonts w:hint="eastAsia" w:ascii="Times New Roman" w:eastAsia="仿宋_GB2312"/>
                <w:bCs/>
                <w:sz w:val="21"/>
                <w:szCs w:val="21"/>
              </w:rPr>
              <w:t>生产规模</w:t>
            </w:r>
          </w:p>
        </w:tc>
        <w:tc>
          <w:tcPr>
            <w:tcW w:w="0" w:type="auto"/>
            <w:vAlign w:val="center"/>
          </w:tcPr>
          <w:p>
            <w:pPr>
              <w:tabs>
                <w:tab w:val="left" w:pos="1896"/>
              </w:tabs>
              <w:spacing w:line="240" w:lineRule="auto"/>
              <w:jc w:val="center"/>
              <w:rPr>
                <w:rFonts w:ascii="Times New Roman" w:eastAsia="仿宋_GB2312"/>
                <w:bCs/>
                <w:sz w:val="21"/>
                <w:szCs w:val="21"/>
              </w:rPr>
            </w:pPr>
            <w:r>
              <w:rPr>
                <w:rFonts w:hint="eastAsia" w:ascii="Times New Roman" w:eastAsia="仿宋_GB2312"/>
                <w:bCs/>
                <w:sz w:val="21"/>
                <w:szCs w:val="21"/>
              </w:rPr>
              <w:t>生产状态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1</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新疆金川矿业有限公司新疆伊宁县金山金矿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金矿</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5.72</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500万吨/年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2</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阿希金矿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金矿</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0.35</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33万吨/年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3</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伊犁正元矿业有限责任公司新疆伊宁县塔乌尔别克金矿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金矿</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0.83</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4万吨/年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4</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新疆伊犁犁能煤炭有限公司新疆伊犁皮里青露天煤矿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煤</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1.95</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90万吨/年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伊犁永宁煤业化工有限公司潘津工业煤矿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煤</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1.81</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90万吨/年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6</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伊犁庆华能源开发有限公司二号露天矿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煤</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7.88</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400万吨/年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7</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伊犁坪山煤业有限公司煤矿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煤</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0.80</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9万吨/年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8</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新疆伊宁县再就业煤业有限公司</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煤</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0.66</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9万吨/年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9</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伊犁州脑艾依图十四号煤矿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煤</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0.79</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9万吨/年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10</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新疆伊犁金龙矿业有限公司达达木图煤矿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煤</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0.47</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9万吨/年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11</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伊宁县鸿森矿业有限责任公司煤矿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煤</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0.56</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9万吨/年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12</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伊犁南岗喀赞其煤业有限公司煤矿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煤</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1.34</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9万吨/年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13</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伊犁会通矿业发展有限公司新疆伊宁县琼布拉克铜矿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铜矿</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1.20</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15万吨/年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14</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伊宁市强盛矿业开发有限公司新疆伊宁塔北铅锌矿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铅矿</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0.23</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3万吨/年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15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新疆伊宁铁列克萨依矿区地开石矿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高岭土</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0.02</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1万吨/年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16</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伊犁惠天陶粒建材有限责任公司伊宁县脑盖图陶粒页岩矿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陶粒页岩</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0.05</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1.6万立方米/年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17</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伊犁青松南岗建材有限责任公司新疆伊宁县阿克塔什石灰岩矿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水泥用石灰岩</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0.49</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45万立方米/年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18</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伊宁县麻扎乡塔尔片石矿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建筑石料用灰岩</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0.03</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1万立方米/年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19</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伊犁沪峰矿业有限公司伊宁喀拉亚尕奇片石矿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建筑石料用灰岩</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0.14</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20</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伊犁金亨矿业有限公司片石矿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建筑石料用灰岩</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0.48</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21</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伊宁县喀拉亚尕奇乡奥依曼布拉克村片石矿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建筑用石料（凝灰岩）</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0.02</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22</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伊宁市锦裕达建材有限公司新疆伊宁县脑盖吐萨依泥岩矿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砖瓦用页岩</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0.01</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10万立方米/年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23</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伊宁县众鑫矿业有限责任公司喀拉亚尕奇乡3号页岩矿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砖瓦用页岩</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0.15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24</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伊宁县廖志忠北山坡砖厂粘土矿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0.26</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4万立方米/年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25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伊宁县伊东工业园盛强空心砖厂粘土矿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0.08</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4万立方米/年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26</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伊宁县喀拉亚尕奇马龙空心砖厂粘土矿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0.25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4万立方米/年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27</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伊宁县麻扎乡红岩新型建材有限公司砖厂粘土矿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0.09</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4万立方米/年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28</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伊宁县鸿鑫建材有限公司砖厂粘土矿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0.07</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4万立方米/年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29</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伊宁县脑盖图邹刚空心砖厂粘土矿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0.16</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4万立方米/年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30</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伊宁县温亚尔乡伟中砖厂粘土矿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0.06</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4万立方米/年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31</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伊宁县希望建材有限公司砖厂粘土矿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0.17</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sz w:val="21"/>
                <w:szCs w:val="21"/>
              </w:rPr>
              <w:t>32</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新疆伊宁县聚祥建材有限公司砖厂粘土矿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0.47</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3</w:t>
            </w:r>
            <w:r>
              <w:rPr>
                <w:rFonts w:ascii="仿宋" w:hAnsi="仿宋"/>
                <w:sz w:val="21"/>
                <w:szCs w:val="21"/>
              </w:rPr>
              <w:t>3</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伊犁云腾建材有限责任公司蓝天空心砖厂</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4万立方米/年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3</w:t>
            </w:r>
            <w:r>
              <w:rPr>
                <w:rFonts w:ascii="仿宋" w:hAnsi="仿宋"/>
                <w:sz w:val="21"/>
                <w:szCs w:val="21"/>
              </w:rPr>
              <w:t>4</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伊宁县萨木于孜乡祥辉砖厂粘土矿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0.15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4万立方米/年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3</w:t>
            </w:r>
            <w:r>
              <w:rPr>
                <w:rFonts w:ascii="仿宋" w:hAnsi="仿宋"/>
                <w:sz w:val="21"/>
                <w:szCs w:val="21"/>
              </w:rPr>
              <w:t>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伊宁县大地红建材有限公司砖厂粘土矿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4万立方米/年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3</w:t>
            </w:r>
            <w:r>
              <w:rPr>
                <w:rFonts w:ascii="仿宋" w:hAnsi="仿宋"/>
                <w:sz w:val="21"/>
                <w:szCs w:val="21"/>
              </w:rPr>
              <w:t>6</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伊宁县喀什乡拜爱特砖厂粘土矿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砖瓦用粘土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0.03</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4万立方米/年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3</w:t>
            </w:r>
            <w:r>
              <w:rPr>
                <w:rFonts w:ascii="仿宋" w:hAnsi="仿宋"/>
                <w:sz w:val="21"/>
                <w:szCs w:val="21"/>
              </w:rPr>
              <w:t>7</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伊宁县喀拉亚尕奇乡马军粘土矿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水泥用粘土</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2万立方米/年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3</w:t>
            </w:r>
            <w:r>
              <w:rPr>
                <w:rFonts w:ascii="仿宋" w:hAnsi="仿宋"/>
                <w:sz w:val="21"/>
                <w:szCs w:val="21"/>
              </w:rPr>
              <w:t>8</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伊宁县青年农场茂成砂厂砂石料矿</w:t>
            </w:r>
          </w:p>
        </w:tc>
        <w:tc>
          <w:tcPr>
            <w:tcW w:w="116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建筑用砂</w:t>
            </w:r>
          </w:p>
        </w:tc>
        <w:tc>
          <w:tcPr>
            <w:tcW w:w="1631" w:type="dxa"/>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0.12</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tabs>
                <w:tab w:val="left" w:pos="1896"/>
              </w:tabs>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3</w:t>
            </w:r>
            <w:r>
              <w:rPr>
                <w:rFonts w:ascii="仿宋" w:hAnsi="仿宋"/>
                <w:sz w:val="21"/>
                <w:szCs w:val="21"/>
              </w:rPr>
              <w:t>9</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伊宁县吐鲁番于孜国泽砂厂砂石料矿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建筑用砂</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0.03</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4</w:t>
            </w:r>
            <w:r>
              <w:rPr>
                <w:rFonts w:ascii="仿宋" w:hAnsi="仿宋"/>
                <w:sz w:val="21"/>
                <w:szCs w:val="21"/>
              </w:rPr>
              <w:t>0</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伊宁县鑫业繁砂场</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建筑用砂</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0.03</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4</w:t>
            </w:r>
            <w:r>
              <w:rPr>
                <w:rFonts w:ascii="仿宋" w:hAnsi="仿宋"/>
                <w:sz w:val="21"/>
                <w:szCs w:val="21"/>
              </w:rPr>
              <w:t>1</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伊宁县悦隆砂厂砂石料矿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建筑用砂</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4</w:t>
            </w:r>
            <w:r>
              <w:rPr>
                <w:rFonts w:ascii="仿宋" w:hAnsi="仿宋"/>
                <w:sz w:val="21"/>
                <w:szCs w:val="21"/>
              </w:rPr>
              <w:t>2</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伊宁县青年农场肖红梅砂场砂石料矿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建筑用砂</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0.13</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4</w:t>
            </w:r>
            <w:r>
              <w:rPr>
                <w:rFonts w:ascii="仿宋" w:hAnsi="仿宋"/>
                <w:sz w:val="21"/>
                <w:szCs w:val="21"/>
              </w:rPr>
              <w:t>3</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伊宁县宏远达砂石料厂</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建筑用砂</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0.03</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4</w:t>
            </w:r>
            <w:r>
              <w:rPr>
                <w:rFonts w:ascii="仿宋" w:hAnsi="仿宋"/>
                <w:sz w:val="21"/>
                <w:szCs w:val="21"/>
              </w:rPr>
              <w:t>4</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伊宁县凯源砂厂</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建筑用砂</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0.06</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停产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4</w:t>
            </w:r>
            <w:r>
              <w:rPr>
                <w:rFonts w:ascii="仿宋" w:hAnsi="仿宋"/>
                <w:sz w:val="21"/>
                <w:szCs w:val="21"/>
              </w:rPr>
              <w:t>5</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伊宁县喀什乡砂石料矿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建筑用砂</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0.14</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4</w:t>
            </w:r>
            <w:r>
              <w:rPr>
                <w:rFonts w:ascii="仿宋" w:hAnsi="仿宋"/>
                <w:sz w:val="21"/>
                <w:szCs w:val="21"/>
              </w:rPr>
              <w:t>6</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伊宁县青年农场二号砂石料矿</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建筑用砂</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0.10</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筹建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tabs>
                <w:tab w:val="left" w:pos="1896"/>
              </w:tabs>
              <w:spacing w:line="240" w:lineRule="auto"/>
              <w:jc w:val="center"/>
              <w:rPr>
                <w:rFonts w:ascii="仿宋" w:hAnsi="仿宋"/>
                <w:sz w:val="21"/>
                <w:szCs w:val="21"/>
              </w:rPr>
            </w:pPr>
            <w:r>
              <w:rPr>
                <w:rFonts w:hint="eastAsia" w:ascii="仿宋" w:hAnsi="仿宋"/>
                <w:sz w:val="21"/>
                <w:szCs w:val="21"/>
              </w:rPr>
              <w:t>4</w:t>
            </w:r>
            <w:r>
              <w:rPr>
                <w:rFonts w:ascii="仿宋" w:hAnsi="仿宋"/>
                <w:sz w:val="21"/>
                <w:szCs w:val="21"/>
              </w:rPr>
              <w:t>7</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伊宁县吐鲁番于孜北山坡砂石料场</w:t>
            </w:r>
          </w:p>
        </w:tc>
        <w:tc>
          <w:tcPr>
            <w:tcW w:w="1161" w:type="dxa"/>
            <w:vAlign w:val="center"/>
          </w:tcPr>
          <w:p>
            <w:pPr>
              <w:spacing w:line="240" w:lineRule="auto"/>
              <w:jc w:val="center"/>
              <w:rPr>
                <w:rFonts w:ascii="Times New Roman" w:eastAsia="仿宋_GB2312"/>
                <w:sz w:val="21"/>
                <w:szCs w:val="21"/>
              </w:rPr>
            </w:pPr>
            <w:r>
              <w:rPr>
                <w:rFonts w:ascii="Times New Roman" w:eastAsia="仿宋_GB2312"/>
                <w:sz w:val="21"/>
                <w:szCs w:val="21"/>
              </w:rPr>
              <w:t>建筑用砂</w:t>
            </w:r>
          </w:p>
        </w:tc>
        <w:tc>
          <w:tcPr>
            <w:tcW w:w="1631" w:type="dxa"/>
            <w:vAlign w:val="center"/>
          </w:tcPr>
          <w:p>
            <w:pPr>
              <w:spacing w:line="240" w:lineRule="auto"/>
              <w:jc w:val="center"/>
              <w:rPr>
                <w:rFonts w:ascii="Times New Roman" w:eastAsia="仿宋_GB2312"/>
                <w:sz w:val="21"/>
                <w:szCs w:val="21"/>
              </w:rPr>
            </w:pPr>
            <w:r>
              <w:rPr>
                <w:rFonts w:ascii="Times New Roman" w:eastAsia="仿宋_GB2312"/>
                <w:sz w:val="21"/>
                <w:szCs w:val="21"/>
              </w:rPr>
              <w:t>0.08</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15万立方米/年</w:t>
            </w:r>
          </w:p>
        </w:tc>
        <w:tc>
          <w:tcPr>
            <w:tcW w:w="0" w:type="auto"/>
            <w:vAlign w:val="center"/>
          </w:tcPr>
          <w:p>
            <w:pPr>
              <w:spacing w:line="240" w:lineRule="auto"/>
              <w:jc w:val="center"/>
              <w:rPr>
                <w:rFonts w:ascii="Times New Roman" w:eastAsia="仿宋_GB2312"/>
                <w:sz w:val="21"/>
                <w:szCs w:val="21"/>
              </w:rPr>
            </w:pPr>
            <w:r>
              <w:rPr>
                <w:rFonts w:ascii="Times New Roman" w:eastAsia="仿宋_GB2312"/>
                <w:sz w:val="21"/>
                <w:szCs w:val="21"/>
              </w:rPr>
              <w:t>筹建</w:t>
            </w:r>
          </w:p>
        </w:tc>
      </w:tr>
    </w:tbl>
    <w:p>
      <w:pPr>
        <w:spacing w:line="560" w:lineRule="exact"/>
        <w:ind w:firstLine="659" w:firstLineChars="200"/>
        <w:rPr>
          <w:rFonts w:ascii="Times New Roman" w:eastAsia="仿宋_GB2312"/>
          <w:sz w:val="32"/>
          <w:szCs w:val="32"/>
        </w:rPr>
      </w:pPr>
      <w:r>
        <w:rPr>
          <w:rFonts w:ascii="Times New Roman" w:eastAsia="仿宋_GB2312"/>
          <w:b/>
          <w:sz w:val="32"/>
          <w:szCs w:val="32"/>
        </w:rPr>
        <w:t>矿山地质环境</w:t>
      </w:r>
      <w:r>
        <w:rPr>
          <w:rFonts w:hint="eastAsia" w:ascii="Times New Roman" w:eastAsia="仿宋_GB2312"/>
          <w:b/>
          <w:sz w:val="32"/>
          <w:szCs w:val="32"/>
        </w:rPr>
        <w:t>生态修复</w:t>
      </w:r>
      <w:r>
        <w:rPr>
          <w:rFonts w:ascii="Times New Roman" w:eastAsia="仿宋_GB2312"/>
          <w:b/>
          <w:sz w:val="32"/>
          <w:szCs w:val="32"/>
        </w:rPr>
        <w:t>与矿业绿色发展现状。</w:t>
      </w:r>
      <w:r>
        <w:rPr>
          <w:rFonts w:ascii="Times New Roman" w:eastAsia="仿宋_GB2312"/>
          <w:sz w:val="32"/>
          <w:szCs w:val="32"/>
        </w:rPr>
        <w:t>落实贯彻实施“谁开发，谁保护，谁污染，谁治理，谁破坏，谁恢复”的政策，</w:t>
      </w:r>
      <w:r>
        <w:rPr>
          <w:rFonts w:hint="eastAsia" w:ascii="Times New Roman" w:eastAsia="仿宋_GB2312"/>
          <w:sz w:val="32"/>
          <w:szCs w:val="32"/>
        </w:rPr>
        <w:t>持证</w:t>
      </w:r>
      <w:r>
        <w:rPr>
          <w:rFonts w:ascii="Times New Roman" w:eastAsia="仿宋_GB2312"/>
          <w:sz w:val="32"/>
          <w:szCs w:val="32"/>
        </w:rPr>
        <w:t>矿山企业均编制了《矿山地质环境保护与土地复垦方案》，</w:t>
      </w:r>
      <w:r>
        <w:rPr>
          <w:rFonts w:hint="eastAsia" w:ascii="Times New Roman" w:eastAsia="仿宋_GB2312"/>
          <w:sz w:val="32"/>
          <w:szCs w:val="32"/>
        </w:rPr>
        <w:t>闭坑矿山均按要求完成矿山地质环境生态修复工作。</w:t>
      </w:r>
      <w:r>
        <w:rPr>
          <w:rFonts w:ascii="Times New Roman" w:eastAsia="仿宋_GB2312"/>
          <w:sz w:val="32"/>
          <w:szCs w:val="32"/>
        </w:rPr>
        <w:t>大力推进绿色矿山建设，截至 2020 年底，伊宁县</w:t>
      </w:r>
      <w:r>
        <w:rPr>
          <w:rFonts w:hint="eastAsia" w:ascii="Times New Roman" w:eastAsia="仿宋_GB2312"/>
          <w:sz w:val="32"/>
          <w:szCs w:val="32"/>
        </w:rPr>
        <w:t>有两座矿山</w:t>
      </w:r>
      <w:r>
        <w:rPr>
          <w:rFonts w:ascii="Times New Roman" w:eastAsia="仿宋_GB2312"/>
          <w:sz w:val="32"/>
          <w:szCs w:val="32"/>
        </w:rPr>
        <w:t>通过遴选，纳入全国绿色矿山名录</w:t>
      </w:r>
      <w:r>
        <w:rPr>
          <w:rFonts w:hint="eastAsia" w:ascii="Times New Roman" w:eastAsia="仿宋_GB2312"/>
          <w:sz w:val="32"/>
          <w:szCs w:val="32"/>
        </w:rPr>
        <w:t>。</w:t>
      </w:r>
    </w:p>
    <w:p>
      <w:pPr>
        <w:pStyle w:val="3"/>
        <w:spacing w:before="0" w:beforeLines="0" w:after="0" w:afterLines="0" w:line="560" w:lineRule="exact"/>
        <w:jc w:val="both"/>
        <w:rPr>
          <w:rFonts w:ascii="Times New Roman" w:hAnsi="Times New Roman" w:eastAsia="楷体"/>
          <w:sz w:val="32"/>
          <w:szCs w:val="32"/>
        </w:rPr>
      </w:pPr>
      <w:bookmarkStart w:id="15" w:name="_Toc130413600"/>
      <w:r>
        <w:rPr>
          <w:rFonts w:ascii="Times New Roman" w:hAnsi="Times New Roman" w:eastAsia="楷体"/>
          <w:sz w:val="32"/>
          <w:szCs w:val="32"/>
        </w:rPr>
        <w:t>（二）“十三五”取得成效</w:t>
      </w:r>
      <w:bookmarkEnd w:id="15"/>
    </w:p>
    <w:p>
      <w:pPr>
        <w:spacing w:line="560" w:lineRule="exact"/>
        <w:ind w:firstLine="659" w:firstLineChars="200"/>
        <w:rPr>
          <w:rFonts w:ascii="Times New Roman" w:eastAsia="仿宋_GB2312"/>
          <w:sz w:val="32"/>
          <w:szCs w:val="32"/>
        </w:rPr>
      </w:pPr>
      <w:r>
        <w:rPr>
          <w:rFonts w:ascii="Times New Roman" w:eastAsia="仿宋_GB2312"/>
          <w:b/>
          <w:sz w:val="32"/>
          <w:szCs w:val="32"/>
        </w:rPr>
        <w:t>基础性公益性地质工作有序推进。</w:t>
      </w:r>
      <w:r>
        <w:rPr>
          <w:rFonts w:ascii="Times New Roman" w:eastAsia="仿宋_GB2312"/>
          <w:sz w:val="32"/>
          <w:szCs w:val="32"/>
        </w:rPr>
        <w:t>紧密结合经济社会发展需求，加快地质调查工作结构调整和转型升级，拓展服务领域，完成1:5万区域地质调查3幅，调查面积约1125平方千米，新发现金铜矿点</w:t>
      </w:r>
      <w:r>
        <w:rPr>
          <w:rFonts w:hint="eastAsia" w:ascii="Times New Roman" w:eastAsia="仿宋_GB2312"/>
          <w:sz w:val="32"/>
          <w:szCs w:val="32"/>
        </w:rPr>
        <w:t>1处，铅矿点1处，铜矿点1处</w:t>
      </w:r>
      <w:r>
        <w:rPr>
          <w:rFonts w:ascii="Times New Roman" w:eastAsia="仿宋_GB2312"/>
          <w:sz w:val="32"/>
          <w:szCs w:val="32"/>
        </w:rPr>
        <w:t>，划分出3个成矿远景区，为矿产勘查工作提供了4个找矿靶区</w:t>
      </w:r>
      <w:r>
        <w:rPr>
          <w:rFonts w:hint="eastAsia" w:ascii="Times New Roman" w:eastAsia="仿宋_GB2312"/>
          <w:sz w:val="32"/>
          <w:szCs w:val="32"/>
        </w:rPr>
        <w:t>。开展了1:2</w:t>
      </w:r>
      <w:r>
        <w:rPr>
          <w:rFonts w:ascii="Times New Roman" w:eastAsia="仿宋_GB2312"/>
          <w:sz w:val="32"/>
          <w:szCs w:val="32"/>
        </w:rPr>
        <w:t>5</w:t>
      </w:r>
      <w:r>
        <w:rPr>
          <w:rFonts w:hint="eastAsia" w:ascii="Times New Roman" w:eastAsia="仿宋_GB2312"/>
          <w:sz w:val="32"/>
          <w:szCs w:val="32"/>
        </w:rPr>
        <w:t>万土地质量地球化学调查</w:t>
      </w:r>
      <w:r>
        <w:rPr>
          <w:rFonts w:ascii="Times New Roman" w:eastAsia="仿宋_GB2312"/>
          <w:sz w:val="32"/>
          <w:szCs w:val="32"/>
        </w:rPr>
        <w:t>1850</w:t>
      </w:r>
      <w:r>
        <w:rPr>
          <w:rFonts w:hint="eastAsia" w:ascii="Times New Roman" w:eastAsia="仿宋_GB2312"/>
          <w:sz w:val="32"/>
          <w:szCs w:val="32"/>
        </w:rPr>
        <w:t>平方千米，为特色土地资源高效开发利用奠定了基础。</w:t>
      </w:r>
    </w:p>
    <w:p>
      <w:pPr>
        <w:spacing w:line="560" w:lineRule="exact"/>
        <w:ind w:firstLine="659" w:firstLineChars="200"/>
        <w:rPr>
          <w:rFonts w:ascii="Times New Roman" w:eastAsia="仿宋_GB2312"/>
          <w:sz w:val="32"/>
          <w:szCs w:val="32"/>
        </w:rPr>
      </w:pPr>
      <w:r>
        <w:rPr>
          <w:rFonts w:ascii="Times New Roman" w:eastAsia="仿宋_GB2312"/>
          <w:b/>
          <w:sz w:val="32"/>
          <w:szCs w:val="32"/>
        </w:rPr>
        <w:t>地质找矿</w:t>
      </w:r>
      <w:r>
        <w:rPr>
          <w:rFonts w:hint="eastAsia" w:ascii="Times New Roman" w:eastAsia="仿宋_GB2312"/>
          <w:b/>
          <w:sz w:val="32"/>
          <w:szCs w:val="32"/>
        </w:rPr>
        <w:t>工作稳步推进</w:t>
      </w:r>
      <w:r>
        <w:rPr>
          <w:rFonts w:ascii="Times New Roman" w:eastAsia="仿宋_GB2312"/>
          <w:b/>
          <w:sz w:val="32"/>
          <w:szCs w:val="32"/>
        </w:rPr>
        <w:t>。</w:t>
      </w:r>
      <w:r>
        <w:rPr>
          <w:rFonts w:hint="eastAsia" w:ascii="Times New Roman" w:eastAsia="仿宋_GB2312"/>
          <w:sz w:val="32"/>
          <w:szCs w:val="32"/>
        </w:rPr>
        <w:t xml:space="preserve"> “十三五”期间，开展了“新疆伊宁县-尼勒克契尔格-加干托干北一带铁铜多金属矿预查”和“新疆伊宁县-尼勒克县包尔斯一带铜矿普查”两项地质勘查项目，圈出了矿化体，铜金属矿产资源量有所增加。</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692"/>
        <w:gridCol w:w="1535"/>
        <w:gridCol w:w="1137"/>
        <w:gridCol w:w="1677"/>
        <w:gridCol w:w="2621"/>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5000" w:type="pct"/>
            <w:gridSpan w:val="6"/>
            <w:shd w:val="clear" w:color="auto" w:fill="FFFFFF" w:themeFill="background1"/>
            <w:vAlign w:val="center"/>
          </w:tcPr>
          <w:p>
            <w:pPr>
              <w:tabs>
                <w:tab w:val="left" w:pos="1896"/>
              </w:tabs>
              <w:spacing w:line="240" w:lineRule="auto"/>
              <w:rPr>
                <w:rFonts w:ascii="Times New Roman"/>
                <w:color w:val="000000" w:themeColor="text1"/>
                <w:sz w:val="21"/>
                <w:szCs w:val="21"/>
                <w14:textFill>
                  <w14:solidFill>
                    <w14:schemeClr w14:val="tx1"/>
                  </w14:solidFill>
                </w14:textFill>
              </w:rPr>
            </w:pPr>
            <w:r>
              <w:rPr>
                <w:rFonts w:ascii="Times New Roman" w:eastAsia="仿宋_GB2312"/>
                <w:b/>
                <w:bCs/>
                <w:sz w:val="21"/>
                <w:szCs w:val="21"/>
              </w:rPr>
              <w:t>专栏4                                        “十三五”期间矿产资源勘查主要指标完成情况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序号</w:t>
            </w:r>
          </w:p>
        </w:tc>
        <w:tc>
          <w:tcPr>
            <w:tcW w:w="867" w:type="pct"/>
            <w:shd w:val="clear" w:color="auto" w:fill="FFFFFF" w:themeFill="background1"/>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矿种</w:t>
            </w:r>
          </w:p>
        </w:tc>
        <w:tc>
          <w:tcPr>
            <w:tcW w:w="642" w:type="pct"/>
            <w:shd w:val="clear" w:color="auto" w:fill="FFFFFF" w:themeFill="background1"/>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单位</w:t>
            </w:r>
          </w:p>
        </w:tc>
        <w:tc>
          <w:tcPr>
            <w:tcW w:w="947" w:type="pct"/>
            <w:shd w:val="clear" w:color="auto" w:fill="FFFFFF" w:themeFill="background1"/>
            <w:vAlign w:val="center"/>
          </w:tcPr>
          <w:p>
            <w:pPr>
              <w:tabs>
                <w:tab w:val="left" w:pos="1896"/>
              </w:tabs>
              <w:spacing w:line="240" w:lineRule="auto"/>
              <w:jc w:val="center"/>
              <w:rPr>
                <w:rFonts w:ascii="Times New Roman" w:eastAsia="仿宋_GB2312"/>
                <w:bCs/>
                <w:sz w:val="21"/>
                <w:szCs w:val="21"/>
              </w:rPr>
            </w:pPr>
            <w:r>
              <w:rPr>
                <w:rFonts w:hint="eastAsia" w:ascii="Times New Roman" w:eastAsia="仿宋_GB2312"/>
                <w:bCs/>
                <w:sz w:val="21"/>
                <w:szCs w:val="21"/>
                <w:lang w:eastAsia="zh-CN"/>
              </w:rPr>
              <w:t>“十三五”规划</w:t>
            </w:r>
            <w:r>
              <w:rPr>
                <w:rFonts w:ascii="Times New Roman" w:eastAsia="仿宋_GB2312"/>
                <w:bCs/>
                <w:sz w:val="21"/>
                <w:szCs w:val="21"/>
              </w:rPr>
              <w:t>指标</w:t>
            </w:r>
          </w:p>
        </w:tc>
        <w:tc>
          <w:tcPr>
            <w:tcW w:w="1480" w:type="pct"/>
            <w:shd w:val="clear" w:color="auto" w:fill="FFFFFF" w:themeFill="background1"/>
            <w:vAlign w:val="center"/>
          </w:tcPr>
          <w:p>
            <w:pPr>
              <w:tabs>
                <w:tab w:val="left" w:pos="1896"/>
              </w:tabs>
              <w:spacing w:line="240" w:lineRule="auto"/>
              <w:jc w:val="center"/>
              <w:rPr>
                <w:rFonts w:ascii="Times New Roman" w:eastAsia="仿宋_GB2312"/>
                <w:bCs/>
                <w:sz w:val="21"/>
                <w:szCs w:val="21"/>
              </w:rPr>
            </w:pPr>
            <w:r>
              <w:rPr>
                <w:rFonts w:hint="eastAsia" w:ascii="Times New Roman" w:eastAsia="仿宋_GB2312"/>
                <w:bCs/>
                <w:sz w:val="21"/>
                <w:szCs w:val="21"/>
                <w:lang w:eastAsia="zh-CN"/>
              </w:rPr>
              <w:t>“</w:t>
            </w:r>
            <w:r>
              <w:rPr>
                <w:rFonts w:hint="eastAsia" w:ascii="Times New Roman" w:eastAsia="仿宋_GB2312"/>
                <w:bCs/>
                <w:sz w:val="21"/>
                <w:szCs w:val="21"/>
              </w:rPr>
              <w:t>十三五</w:t>
            </w:r>
            <w:r>
              <w:rPr>
                <w:rFonts w:hint="eastAsia" w:ascii="Times New Roman" w:eastAsia="仿宋_GB2312"/>
                <w:bCs/>
                <w:sz w:val="21"/>
                <w:szCs w:val="21"/>
                <w:lang w:eastAsia="zh-CN"/>
              </w:rPr>
              <w:t>”</w:t>
            </w:r>
            <w:r>
              <w:rPr>
                <w:rFonts w:hint="eastAsia" w:ascii="Times New Roman" w:eastAsia="仿宋_GB2312"/>
                <w:bCs/>
                <w:sz w:val="21"/>
                <w:szCs w:val="21"/>
              </w:rPr>
              <w:t>期间资源量</w:t>
            </w:r>
            <w:r>
              <w:rPr>
                <w:rFonts w:ascii="Times New Roman" w:eastAsia="仿宋_GB2312"/>
                <w:bCs/>
                <w:sz w:val="21"/>
                <w:szCs w:val="21"/>
              </w:rPr>
              <w:t>增长情况</w:t>
            </w:r>
          </w:p>
        </w:tc>
        <w:tc>
          <w:tcPr>
            <w:tcW w:w="673" w:type="pct"/>
            <w:shd w:val="clear" w:color="auto" w:fill="FFFFFF" w:themeFill="background1"/>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1</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煤炭</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万吨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1100</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0</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2</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铜</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矿石 万吨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15</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2.36</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15.73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3</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铅、锌</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矿石 万吨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3</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0</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4</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金</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金 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3.5</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0</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5</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石灰岩</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矿石 万吨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75</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0</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6</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非金属矿产</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处</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3</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0</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0</w:t>
            </w:r>
          </w:p>
        </w:tc>
      </w:tr>
    </w:tbl>
    <w:p>
      <w:pPr>
        <w:spacing w:line="560" w:lineRule="exact"/>
        <w:ind w:firstLine="659" w:firstLineChars="200"/>
        <w:rPr>
          <w:rFonts w:ascii="Times New Roman" w:eastAsia="仿宋_GB2312"/>
          <w:sz w:val="32"/>
          <w:szCs w:val="32"/>
        </w:rPr>
      </w:pPr>
      <w:r>
        <w:rPr>
          <w:rFonts w:ascii="Times New Roman" w:eastAsia="仿宋_GB2312"/>
          <w:b/>
          <w:sz w:val="32"/>
          <w:szCs w:val="32"/>
        </w:rPr>
        <w:t>水工环地质调查服务民生成效突显。</w:t>
      </w:r>
      <w:r>
        <w:rPr>
          <w:rFonts w:ascii="Times New Roman" w:eastAsia="仿宋_GB2312"/>
          <w:sz w:val="32"/>
          <w:szCs w:val="32"/>
        </w:rPr>
        <w:t>实施完成了</w:t>
      </w:r>
      <w:r>
        <w:rPr>
          <w:rFonts w:hint="eastAsia" w:ascii="Times New Roman" w:eastAsia="仿宋_GB2312"/>
          <w:sz w:val="32"/>
          <w:szCs w:val="32"/>
        </w:rPr>
        <w:t>1:1</w:t>
      </w:r>
      <w:r>
        <w:rPr>
          <w:rFonts w:ascii="Times New Roman" w:eastAsia="仿宋_GB2312"/>
          <w:sz w:val="32"/>
          <w:szCs w:val="32"/>
        </w:rPr>
        <w:t>0万</w:t>
      </w:r>
      <w:r>
        <w:rPr>
          <w:rFonts w:hint="eastAsia" w:ascii="Times New Roman" w:eastAsia="仿宋_GB2312"/>
          <w:sz w:val="32"/>
          <w:szCs w:val="32"/>
        </w:rPr>
        <w:t>新疆伊犁谷地（伊犁-巩乃斯谷地、喀什河谷地）水文地质环境地质调查评价</w:t>
      </w:r>
      <w:r>
        <w:rPr>
          <w:rFonts w:ascii="Times New Roman" w:eastAsia="仿宋_GB2312"/>
          <w:sz w:val="32"/>
          <w:szCs w:val="32"/>
        </w:rPr>
        <w:t>项目</w:t>
      </w:r>
      <w:r>
        <w:rPr>
          <w:rFonts w:hint="eastAsia" w:ascii="Times New Roman" w:eastAsia="仿宋_GB2312"/>
          <w:sz w:val="32"/>
          <w:szCs w:val="32"/>
        </w:rPr>
        <w:t>；开展了伊宁县1:5万地质风险调查评价；依托自治区矿山地质环境调查项目开展了矿山地质环境调查，调查矿山</w:t>
      </w:r>
      <w:r>
        <w:rPr>
          <w:rFonts w:ascii="Times New Roman" w:eastAsia="仿宋_GB2312"/>
          <w:sz w:val="32"/>
          <w:szCs w:val="32"/>
        </w:rPr>
        <w:t>85</w:t>
      </w:r>
      <w:r>
        <w:rPr>
          <w:rFonts w:hint="eastAsia" w:ascii="Times New Roman" w:eastAsia="仿宋_GB2312"/>
          <w:sz w:val="32"/>
          <w:szCs w:val="32"/>
        </w:rPr>
        <w:t>家，调查面积</w:t>
      </w:r>
      <w:r>
        <w:rPr>
          <w:rFonts w:ascii="Times New Roman" w:eastAsia="仿宋_GB2312"/>
          <w:sz w:val="32"/>
          <w:szCs w:val="32"/>
        </w:rPr>
        <w:t>23.67</w:t>
      </w:r>
      <w:r>
        <w:rPr>
          <w:rFonts w:hint="eastAsia" w:ascii="Times New Roman" w:eastAsia="仿宋_GB2312"/>
          <w:sz w:val="32"/>
          <w:szCs w:val="32"/>
        </w:rPr>
        <w:t>平方千米，对伊宁县矿山地质问题进行了梳理和分类。</w:t>
      </w:r>
    </w:p>
    <w:p>
      <w:pPr>
        <w:spacing w:line="560" w:lineRule="exact"/>
        <w:ind w:firstLine="656" w:firstLineChars="200"/>
        <w:rPr>
          <w:rFonts w:ascii="Times New Roman" w:eastAsia="仿宋_GB2312"/>
          <w:sz w:val="32"/>
          <w:szCs w:val="32"/>
        </w:rPr>
      </w:pPr>
      <w:r>
        <w:rPr>
          <w:rFonts w:ascii="Times New Roman" w:eastAsia="仿宋_GB2312"/>
          <w:sz w:val="32"/>
          <w:szCs w:val="32"/>
        </w:rPr>
        <w:t>矿</w:t>
      </w:r>
      <w:r>
        <w:rPr>
          <w:rFonts w:ascii="Times New Roman" w:eastAsia="仿宋_GB2312"/>
          <w:b/>
          <w:sz w:val="32"/>
          <w:szCs w:val="32"/>
        </w:rPr>
        <w:t>业结构调整及优化布局初见成效。</w:t>
      </w:r>
      <w:r>
        <w:rPr>
          <w:rFonts w:ascii="Times New Roman" w:eastAsia="仿宋_GB2312"/>
          <w:sz w:val="32"/>
          <w:szCs w:val="32"/>
        </w:rPr>
        <w:t>重要矿产矿山总数得到了有效控制，为落实“生态立州”的发展理念，矿山企业从2015年末的77家减少</w:t>
      </w:r>
      <w:r>
        <w:rPr>
          <w:rFonts w:hint="eastAsia" w:ascii="Times New Roman" w:eastAsia="仿宋_GB2312"/>
          <w:sz w:val="32"/>
          <w:szCs w:val="32"/>
        </w:rPr>
        <w:t>至</w:t>
      </w:r>
      <w:r>
        <w:rPr>
          <w:rFonts w:ascii="Times New Roman" w:eastAsia="仿宋_GB2312"/>
          <w:sz w:val="32"/>
          <w:szCs w:val="32"/>
        </w:rPr>
        <w:t>47家</w:t>
      </w:r>
      <w:r>
        <w:rPr>
          <w:rFonts w:hint="eastAsia" w:ascii="Times New Roman" w:eastAsia="仿宋_GB2312"/>
          <w:sz w:val="32"/>
          <w:szCs w:val="32"/>
        </w:rPr>
        <w:t>，大中型矿山比例由2</w:t>
      </w:r>
      <w:r>
        <w:rPr>
          <w:rFonts w:ascii="Times New Roman" w:eastAsia="仿宋_GB2312"/>
          <w:sz w:val="32"/>
          <w:szCs w:val="32"/>
        </w:rPr>
        <w:t>9.87</w:t>
      </w:r>
      <w:r>
        <w:rPr>
          <w:rFonts w:hint="eastAsia" w:ascii="Times New Roman" w:eastAsia="仿宋_GB2312"/>
          <w:sz w:val="32"/>
          <w:szCs w:val="32"/>
        </w:rPr>
        <w:t>％提升至</w:t>
      </w:r>
      <w:r>
        <w:rPr>
          <w:rFonts w:ascii="Times New Roman" w:eastAsia="仿宋_GB2312"/>
          <w:sz w:val="32"/>
          <w:szCs w:val="32"/>
        </w:rPr>
        <w:t>44.68</w:t>
      </w:r>
      <w:r>
        <w:rPr>
          <w:rFonts w:hint="eastAsia" w:ascii="Times New Roman" w:eastAsia="仿宋_GB2312"/>
          <w:sz w:val="32"/>
          <w:szCs w:val="32"/>
        </w:rPr>
        <w:t>％。</w:t>
      </w:r>
      <w:r>
        <w:rPr>
          <w:rFonts w:ascii="Times New Roman" w:eastAsia="仿宋_GB2312"/>
          <w:sz w:val="32"/>
          <w:szCs w:val="32"/>
        </w:rPr>
        <w:t>开发利用达到 “三率”指标要求。矿山“三废”综合利用成效明显，煤矸石、粉煤灰资源化利用步伐加快，部分矿山的矿井水得到回收利用。</w:t>
      </w:r>
    </w:p>
    <w:p>
      <w:pPr>
        <w:spacing w:line="560" w:lineRule="exact"/>
        <w:ind w:firstLine="656" w:firstLineChars="200"/>
        <w:rPr>
          <w:rFonts w:ascii="Times New Roman" w:eastAsia="仿宋_GB2312"/>
          <w:sz w:val="32"/>
          <w:szCs w:val="32"/>
        </w:rPr>
      </w:pP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0" w:type="dxa"/>
          <w:bottom w:w="0" w:type="dxa"/>
          <w:right w:w="0" w:type="dxa"/>
        </w:tblCellMar>
      </w:tblPr>
      <w:tblGrid>
        <w:gridCol w:w="692"/>
        <w:gridCol w:w="1535"/>
        <w:gridCol w:w="1137"/>
        <w:gridCol w:w="1677"/>
        <w:gridCol w:w="2621"/>
        <w:gridCol w:w="1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5000" w:type="pct"/>
            <w:gridSpan w:val="6"/>
            <w:shd w:val="clear" w:color="auto" w:fill="FFFFFF" w:themeFill="background1"/>
            <w:vAlign w:val="center"/>
          </w:tcPr>
          <w:p>
            <w:pPr>
              <w:tabs>
                <w:tab w:val="left" w:pos="1896"/>
              </w:tabs>
              <w:spacing w:line="240" w:lineRule="auto"/>
              <w:rPr>
                <w:rFonts w:ascii="Times New Roman"/>
                <w:sz w:val="24"/>
              </w:rPr>
            </w:pPr>
            <w:r>
              <w:rPr>
                <w:rFonts w:ascii="Times New Roman" w:eastAsia="仿宋_GB2312"/>
                <w:b/>
                <w:bCs/>
                <w:sz w:val="21"/>
                <w:szCs w:val="21"/>
              </w:rPr>
              <w:t>专栏5                                        “十三五”期间矿产资源</w:t>
            </w:r>
            <w:r>
              <w:rPr>
                <w:rFonts w:hint="eastAsia" w:ascii="Times New Roman" w:eastAsia="仿宋_GB2312"/>
                <w:b/>
                <w:bCs/>
                <w:sz w:val="21"/>
                <w:szCs w:val="21"/>
              </w:rPr>
              <w:t>开发利用</w:t>
            </w:r>
            <w:r>
              <w:rPr>
                <w:rFonts w:ascii="Times New Roman" w:eastAsia="仿宋_GB2312"/>
                <w:b/>
                <w:bCs/>
                <w:sz w:val="21"/>
                <w:szCs w:val="21"/>
              </w:rPr>
              <w:t>主要指标完成情况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360" w:lineRule="exact"/>
              <w:jc w:val="center"/>
              <w:rPr>
                <w:rFonts w:ascii="Times New Roman"/>
                <w:sz w:val="21"/>
                <w:szCs w:val="21"/>
              </w:rPr>
            </w:pPr>
            <w:r>
              <w:rPr>
                <w:rFonts w:ascii="Times New Roman"/>
                <w:sz w:val="21"/>
                <w:szCs w:val="21"/>
              </w:rPr>
              <w:t>序号</w:t>
            </w:r>
          </w:p>
        </w:tc>
        <w:tc>
          <w:tcPr>
            <w:tcW w:w="867" w:type="pct"/>
            <w:shd w:val="clear" w:color="auto" w:fill="FFFFFF" w:themeFill="background1"/>
            <w:vAlign w:val="center"/>
          </w:tcPr>
          <w:p>
            <w:pPr>
              <w:spacing w:line="360" w:lineRule="exact"/>
              <w:jc w:val="center"/>
              <w:rPr>
                <w:rFonts w:ascii="Times New Roman"/>
                <w:sz w:val="21"/>
                <w:szCs w:val="21"/>
              </w:rPr>
            </w:pPr>
            <w:r>
              <w:rPr>
                <w:rFonts w:ascii="Times New Roman"/>
                <w:sz w:val="21"/>
                <w:szCs w:val="21"/>
              </w:rPr>
              <w:t>矿种</w:t>
            </w:r>
          </w:p>
        </w:tc>
        <w:tc>
          <w:tcPr>
            <w:tcW w:w="642" w:type="pct"/>
            <w:shd w:val="clear" w:color="auto" w:fill="FFFFFF" w:themeFill="background1"/>
            <w:vAlign w:val="center"/>
          </w:tcPr>
          <w:p>
            <w:pPr>
              <w:spacing w:line="360" w:lineRule="exact"/>
              <w:jc w:val="center"/>
              <w:rPr>
                <w:rFonts w:ascii="Times New Roman"/>
                <w:sz w:val="21"/>
                <w:szCs w:val="21"/>
              </w:rPr>
            </w:pPr>
            <w:r>
              <w:rPr>
                <w:rFonts w:ascii="Times New Roman"/>
                <w:sz w:val="21"/>
                <w:szCs w:val="21"/>
              </w:rPr>
              <w:t>单位</w:t>
            </w:r>
          </w:p>
        </w:tc>
        <w:tc>
          <w:tcPr>
            <w:tcW w:w="947" w:type="pct"/>
            <w:shd w:val="clear" w:color="auto" w:fill="FFFFFF" w:themeFill="background1"/>
            <w:vAlign w:val="center"/>
          </w:tcPr>
          <w:p>
            <w:pPr>
              <w:spacing w:line="360" w:lineRule="exact"/>
              <w:jc w:val="center"/>
              <w:rPr>
                <w:rFonts w:ascii="Times New Roman"/>
                <w:sz w:val="21"/>
                <w:szCs w:val="21"/>
              </w:rPr>
            </w:pPr>
            <w:r>
              <w:rPr>
                <w:rFonts w:hint="eastAsia" w:ascii="Times New Roman"/>
                <w:sz w:val="21"/>
                <w:szCs w:val="21"/>
                <w:lang w:eastAsia="zh-CN"/>
              </w:rPr>
              <w:t>“十三五”规划</w:t>
            </w:r>
            <w:r>
              <w:rPr>
                <w:rFonts w:ascii="Times New Roman"/>
                <w:sz w:val="21"/>
                <w:szCs w:val="21"/>
              </w:rPr>
              <w:t>指标</w:t>
            </w:r>
          </w:p>
        </w:tc>
        <w:tc>
          <w:tcPr>
            <w:tcW w:w="1480" w:type="pct"/>
            <w:shd w:val="clear" w:color="auto" w:fill="FFFFFF" w:themeFill="background1"/>
            <w:vAlign w:val="center"/>
          </w:tcPr>
          <w:p>
            <w:pPr>
              <w:spacing w:line="360" w:lineRule="exact"/>
              <w:jc w:val="center"/>
              <w:rPr>
                <w:rFonts w:ascii="Times New Roman"/>
                <w:sz w:val="21"/>
                <w:szCs w:val="21"/>
              </w:rPr>
            </w:pPr>
            <w:r>
              <w:rPr>
                <w:rFonts w:hint="eastAsia" w:ascii="Times New Roman"/>
                <w:sz w:val="21"/>
                <w:szCs w:val="21"/>
              </w:rPr>
              <w:t>2</w:t>
            </w:r>
            <w:r>
              <w:rPr>
                <w:rFonts w:ascii="Times New Roman"/>
                <w:sz w:val="21"/>
                <w:szCs w:val="21"/>
              </w:rPr>
              <w:t>020</w:t>
            </w:r>
            <w:r>
              <w:rPr>
                <w:rFonts w:hint="eastAsia" w:ascii="Times New Roman"/>
                <w:sz w:val="21"/>
                <w:szCs w:val="21"/>
              </w:rPr>
              <w:t>年产量</w:t>
            </w:r>
          </w:p>
        </w:tc>
        <w:tc>
          <w:tcPr>
            <w:tcW w:w="673" w:type="pct"/>
            <w:shd w:val="clear" w:color="auto" w:fill="FFFFFF" w:themeFill="background1"/>
            <w:vAlign w:val="center"/>
          </w:tcPr>
          <w:p>
            <w:pPr>
              <w:spacing w:line="360" w:lineRule="exact"/>
              <w:jc w:val="center"/>
              <w:rPr>
                <w:rFonts w:ascii="Times New Roman"/>
                <w:sz w:val="21"/>
                <w:szCs w:val="21"/>
              </w:rPr>
            </w:pPr>
            <w:r>
              <w:rPr>
                <w:rFonts w:ascii="Times New Roman"/>
                <w:sz w:val="21"/>
                <w:szCs w:val="21"/>
              </w:rPr>
              <w:t>完成率%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1</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 xml:space="preserve">矿石 </w:t>
            </w:r>
            <w:r>
              <w:rPr>
                <w:rFonts w:hint="eastAsia" w:ascii="Times New Roman" w:eastAsia="仿宋_GB2312"/>
                <w:sz w:val="21"/>
                <w:szCs w:val="21"/>
              </w:rPr>
              <w:t>万</w:t>
            </w:r>
            <w:r>
              <w:rPr>
                <w:rFonts w:ascii="Times New Roman" w:eastAsia="仿宋_GB2312"/>
                <w:sz w:val="21"/>
                <w:szCs w:val="21"/>
              </w:rPr>
              <w:t>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7</w:t>
            </w:r>
            <w:r>
              <w:rPr>
                <w:rFonts w:ascii="Times New Roman" w:eastAsia="仿宋_GB2312"/>
                <w:sz w:val="21"/>
                <w:szCs w:val="21"/>
              </w:rPr>
              <w:t>60</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1071.34</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140.97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2</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铁矿</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矿石 万吨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w:t>
            </w:r>
            <w:r>
              <w:rPr>
                <w:rFonts w:ascii="Times New Roman" w:eastAsia="仿宋_GB2312"/>
                <w:sz w:val="21"/>
                <w:szCs w:val="21"/>
              </w:rPr>
              <w:t>0</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3</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铜矿</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铜</w:t>
            </w:r>
            <w:r>
              <w:rPr>
                <w:rFonts w:ascii="Times New Roman" w:eastAsia="仿宋_GB2312"/>
                <w:sz w:val="21"/>
                <w:szCs w:val="21"/>
              </w:rPr>
              <w:t xml:space="preserve"> 万吨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w:t>
            </w:r>
            <w:r>
              <w:rPr>
                <w:rFonts w:ascii="Times New Roman" w:eastAsia="仿宋_GB2312"/>
                <w:sz w:val="21"/>
                <w:szCs w:val="21"/>
              </w:rPr>
              <w:t>0</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4</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金</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金 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4</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4.15</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103.75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5</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铅矿</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 xml:space="preserve"> 万吨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w:t>
            </w:r>
            <w:r>
              <w:rPr>
                <w:rFonts w:ascii="Times New Roman" w:eastAsia="仿宋_GB2312"/>
                <w:sz w:val="21"/>
                <w:szCs w:val="21"/>
              </w:rPr>
              <w:t>0</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6</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锌矿</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万</w:t>
            </w:r>
            <w:r>
              <w:rPr>
                <w:rFonts w:ascii="Times New Roman" w:eastAsia="仿宋_GB2312"/>
                <w:sz w:val="21"/>
                <w:szCs w:val="21"/>
              </w:rPr>
              <w:t>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8</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7</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石灰岩</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矿石 万吨</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3</w:t>
            </w:r>
            <w:r>
              <w:rPr>
                <w:rFonts w:ascii="Times New Roman" w:eastAsia="仿宋_GB2312"/>
                <w:sz w:val="21"/>
                <w:szCs w:val="21"/>
              </w:rPr>
              <w:t>0</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w:t>
            </w:r>
            <w:r>
              <w:rPr>
                <w:rFonts w:ascii="Times New Roman" w:eastAsia="仿宋_GB2312"/>
                <w:sz w:val="21"/>
                <w:szCs w:val="21"/>
              </w:rPr>
              <w:t>2.29</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4</w:t>
            </w:r>
            <w:r>
              <w:rPr>
                <w:rFonts w:ascii="Times New Roman" w:eastAsia="仿宋_GB2312"/>
                <w:sz w:val="21"/>
                <w:szCs w:val="21"/>
              </w:rPr>
              <w:t>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0" w:type="dxa"/>
            <w:bottom w:w="0" w:type="dxa"/>
            <w:right w:w="0" w:type="dxa"/>
          </w:tblCellMar>
        </w:tblPrEx>
        <w:trPr>
          <w:trHeight w:val="284" w:hRule="atLeast"/>
          <w:jc w:val="center"/>
        </w:trPr>
        <w:tc>
          <w:tcPr>
            <w:tcW w:w="391"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8</w:t>
            </w:r>
          </w:p>
        </w:tc>
        <w:tc>
          <w:tcPr>
            <w:tcW w:w="86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建筑用砂、粘土</w:t>
            </w:r>
          </w:p>
        </w:tc>
        <w:tc>
          <w:tcPr>
            <w:tcW w:w="642"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万立方米</w:t>
            </w:r>
          </w:p>
        </w:tc>
        <w:tc>
          <w:tcPr>
            <w:tcW w:w="947" w:type="pct"/>
            <w:shd w:val="clear" w:color="auto" w:fill="FFFFFF" w:themeFill="background1"/>
            <w:vAlign w:val="center"/>
          </w:tcPr>
          <w:p>
            <w:pPr>
              <w:spacing w:line="240" w:lineRule="auto"/>
              <w:jc w:val="center"/>
              <w:rPr>
                <w:rFonts w:ascii="Times New Roman" w:eastAsia="仿宋_GB2312"/>
                <w:sz w:val="21"/>
                <w:szCs w:val="21"/>
              </w:rPr>
            </w:pPr>
            <w:r>
              <w:rPr>
                <w:rFonts w:hint="eastAsia" w:ascii="Times New Roman" w:eastAsia="仿宋_GB2312"/>
                <w:sz w:val="21"/>
                <w:szCs w:val="21"/>
              </w:rPr>
              <w:t>6</w:t>
            </w:r>
            <w:r>
              <w:rPr>
                <w:rFonts w:ascii="Times New Roman" w:eastAsia="仿宋_GB2312"/>
                <w:sz w:val="21"/>
                <w:szCs w:val="21"/>
              </w:rPr>
              <w:t>5</w:t>
            </w:r>
          </w:p>
        </w:tc>
        <w:tc>
          <w:tcPr>
            <w:tcW w:w="1480"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82.52</w:t>
            </w:r>
          </w:p>
        </w:tc>
        <w:tc>
          <w:tcPr>
            <w:tcW w:w="673" w:type="pct"/>
            <w:shd w:val="clear" w:color="auto" w:fill="FFFFFF" w:themeFill="background1"/>
            <w:vAlign w:val="center"/>
          </w:tcPr>
          <w:p>
            <w:pPr>
              <w:spacing w:line="240" w:lineRule="auto"/>
              <w:jc w:val="center"/>
              <w:rPr>
                <w:rFonts w:ascii="Times New Roman" w:eastAsia="仿宋_GB2312"/>
                <w:sz w:val="21"/>
                <w:szCs w:val="21"/>
              </w:rPr>
            </w:pPr>
            <w:r>
              <w:rPr>
                <w:rFonts w:ascii="Times New Roman" w:eastAsia="仿宋_GB2312"/>
                <w:sz w:val="21"/>
                <w:szCs w:val="21"/>
              </w:rPr>
              <w:t>131.57</w:t>
            </w:r>
          </w:p>
        </w:tc>
      </w:tr>
    </w:tbl>
    <w:p>
      <w:pPr>
        <w:spacing w:line="560" w:lineRule="exact"/>
        <w:ind w:firstLine="659" w:firstLineChars="200"/>
        <w:rPr>
          <w:rFonts w:ascii="Times New Roman" w:eastAsia="仿宋_GB2312"/>
          <w:sz w:val="32"/>
          <w:szCs w:val="32"/>
        </w:rPr>
      </w:pPr>
      <w:r>
        <w:rPr>
          <w:rFonts w:ascii="Times New Roman" w:eastAsia="仿宋_GB2312"/>
          <w:b/>
          <w:sz w:val="32"/>
          <w:szCs w:val="32"/>
        </w:rPr>
        <w:t>准入条件得到了严格执行。</w:t>
      </w:r>
      <w:r>
        <w:rPr>
          <w:rFonts w:ascii="Times New Roman" w:eastAsia="仿宋_GB2312"/>
          <w:sz w:val="32"/>
          <w:szCs w:val="32"/>
        </w:rPr>
        <w:t>矿产资源规划中的重点、限制、禁止性的功能分区得到了全面落实，新设矿权符合矿产资源规划和矿业权设置方案要求。新建矿山最小规模和最低服务年限及其他准入条件得到了全面执行，现</w:t>
      </w:r>
      <w:r>
        <w:rPr>
          <w:rFonts w:hint="eastAsia" w:ascii="Times New Roman" w:eastAsia="仿宋_GB2312"/>
          <w:sz w:val="32"/>
          <w:szCs w:val="32"/>
        </w:rPr>
        <w:t>状</w:t>
      </w:r>
      <w:r>
        <w:rPr>
          <w:rFonts w:ascii="Times New Roman" w:eastAsia="仿宋_GB2312"/>
          <w:sz w:val="32"/>
          <w:szCs w:val="32"/>
        </w:rPr>
        <w:t>矿山通过资源整合</w:t>
      </w:r>
      <w:r>
        <w:rPr>
          <w:rFonts w:hint="eastAsia" w:ascii="Times New Roman" w:eastAsia="仿宋_GB2312"/>
          <w:sz w:val="32"/>
          <w:szCs w:val="32"/>
        </w:rPr>
        <w:t>和</w:t>
      </w:r>
      <w:r>
        <w:rPr>
          <w:rFonts w:ascii="Times New Roman" w:eastAsia="仿宋_GB2312"/>
          <w:sz w:val="32"/>
          <w:szCs w:val="32"/>
        </w:rPr>
        <w:t>技改，产能达到矿产资源规划要求。</w:t>
      </w:r>
    </w:p>
    <w:p>
      <w:pPr>
        <w:spacing w:line="560" w:lineRule="exact"/>
        <w:ind w:firstLine="659" w:firstLineChars="200"/>
        <w:rPr>
          <w:rFonts w:ascii="Times New Roman" w:eastAsia="仿宋_GB2312"/>
          <w:sz w:val="32"/>
          <w:szCs w:val="32"/>
        </w:rPr>
      </w:pPr>
      <w:r>
        <w:rPr>
          <w:rFonts w:ascii="Times New Roman" w:eastAsia="仿宋_GB2312"/>
          <w:b/>
          <w:sz w:val="32"/>
          <w:szCs w:val="32"/>
        </w:rPr>
        <w:t>矿山地质环境逐步好转。</w:t>
      </w:r>
      <w:r>
        <w:rPr>
          <w:rFonts w:ascii="Times New Roman" w:eastAsia="仿宋_GB2312"/>
          <w:sz w:val="32"/>
          <w:szCs w:val="32"/>
        </w:rPr>
        <w:t>按照矿山地质环境的保护区、预防区、治理区分类进行管理，执行</w:t>
      </w:r>
      <w:r>
        <w:rPr>
          <w:rFonts w:hint="eastAsia" w:ascii="Times New Roman" w:eastAsia="仿宋_GB2312"/>
          <w:sz w:val="32"/>
          <w:szCs w:val="32"/>
        </w:rPr>
        <w:t>了</w:t>
      </w:r>
      <w:r>
        <w:rPr>
          <w:rFonts w:ascii="Times New Roman" w:eastAsia="仿宋_GB2312"/>
          <w:sz w:val="32"/>
          <w:szCs w:val="32"/>
        </w:rPr>
        <w:t>矿山地质环境恢复治理保证金制度，督促矿山企业缴纳地质环境恢复治理保证金，积极申报财政资金和引进社会资金相结合，综合开展地质环境治理工作，关闭矿山</w:t>
      </w:r>
      <w:r>
        <w:rPr>
          <w:rFonts w:hint="eastAsia" w:ascii="Times New Roman" w:eastAsia="仿宋_GB2312"/>
          <w:sz w:val="32"/>
          <w:szCs w:val="32"/>
        </w:rPr>
        <w:t>3</w:t>
      </w:r>
      <w:r>
        <w:rPr>
          <w:rFonts w:ascii="Times New Roman" w:eastAsia="仿宋_GB2312"/>
          <w:sz w:val="32"/>
          <w:szCs w:val="32"/>
        </w:rPr>
        <w:t>2家，完成废弃矿山治理面积3.99</w:t>
      </w:r>
      <w:r>
        <w:rPr>
          <w:rFonts w:hint="eastAsia" w:ascii="Times New Roman" w:eastAsia="仿宋_GB2312"/>
          <w:sz w:val="32"/>
          <w:szCs w:val="32"/>
        </w:rPr>
        <w:t xml:space="preserve"> 平方千米</w:t>
      </w:r>
      <w:r>
        <w:rPr>
          <w:rFonts w:ascii="Times New Roman" w:eastAsia="仿宋_GB2312"/>
          <w:sz w:val="32"/>
          <w:szCs w:val="32"/>
        </w:rPr>
        <w:t>。</w:t>
      </w:r>
    </w:p>
    <w:p>
      <w:pPr>
        <w:spacing w:line="560" w:lineRule="exact"/>
        <w:ind w:firstLine="659" w:firstLineChars="200"/>
        <w:rPr>
          <w:rFonts w:ascii="Times New Roman" w:eastAsia="仿宋_GB2312"/>
          <w:sz w:val="32"/>
          <w:szCs w:val="32"/>
        </w:rPr>
      </w:pPr>
      <w:r>
        <w:rPr>
          <w:rFonts w:ascii="Times New Roman" w:eastAsia="仿宋_GB2312"/>
          <w:b/>
          <w:sz w:val="32"/>
          <w:szCs w:val="32"/>
        </w:rPr>
        <w:t>绿色矿业发展格局初步形成。</w:t>
      </w:r>
      <w:r>
        <w:rPr>
          <w:rFonts w:ascii="Times New Roman" w:eastAsia="仿宋_GB2312"/>
          <w:sz w:val="32"/>
          <w:szCs w:val="32"/>
        </w:rPr>
        <w:t>初步建成</w:t>
      </w:r>
      <w:r>
        <w:rPr>
          <w:rFonts w:hint="eastAsia" w:ascii="Times New Roman" w:eastAsia="仿宋_GB2312"/>
          <w:sz w:val="32"/>
          <w:szCs w:val="32"/>
        </w:rPr>
        <w:t>了</w:t>
      </w:r>
      <w:r>
        <w:rPr>
          <w:rFonts w:ascii="Times New Roman" w:eastAsia="仿宋_GB2312"/>
          <w:sz w:val="32"/>
          <w:szCs w:val="32"/>
        </w:rPr>
        <w:t>政府引导、企业主建、第三方评估、社会监督的绿色矿山建设工作体系。伊宁县</w:t>
      </w:r>
      <w:r>
        <w:rPr>
          <w:rFonts w:hint="eastAsia" w:ascii="Times New Roman" w:eastAsia="仿宋_GB2312"/>
          <w:sz w:val="32"/>
          <w:szCs w:val="32"/>
        </w:rPr>
        <w:t>两座矿山</w:t>
      </w:r>
      <w:r>
        <w:rPr>
          <w:rFonts w:ascii="Times New Roman" w:eastAsia="仿宋_GB2312"/>
          <w:sz w:val="32"/>
          <w:szCs w:val="32"/>
        </w:rPr>
        <w:t>通过遴选，纳入全国绿色矿山名录</w:t>
      </w:r>
      <w:r>
        <w:rPr>
          <w:rFonts w:hint="eastAsia" w:ascii="Times New Roman" w:eastAsia="仿宋_GB2312"/>
          <w:sz w:val="32"/>
          <w:szCs w:val="32"/>
        </w:rPr>
        <w:t>。</w:t>
      </w:r>
    </w:p>
    <w:p>
      <w:pPr>
        <w:spacing w:line="560" w:lineRule="exact"/>
        <w:ind w:firstLine="659" w:firstLineChars="200"/>
        <w:rPr>
          <w:rFonts w:ascii="Times New Roman" w:eastAsia="仿宋_GB2312"/>
          <w:sz w:val="32"/>
          <w:szCs w:val="32"/>
        </w:rPr>
      </w:pPr>
      <w:r>
        <w:rPr>
          <w:rFonts w:ascii="Times New Roman" w:eastAsia="仿宋_GB2312"/>
          <w:b/>
          <w:sz w:val="32"/>
          <w:szCs w:val="32"/>
        </w:rPr>
        <w:t>管理制度不断完善。</w:t>
      </w:r>
      <w:r>
        <w:rPr>
          <w:rFonts w:ascii="Times New Roman" w:eastAsia="仿宋_GB2312"/>
          <w:sz w:val="32"/>
          <w:szCs w:val="32"/>
        </w:rPr>
        <w:t>落实国家、自治区矿产资源宏观调控政策和矿产资源总体规划，矿产资源勘查开发布局不断优化；全面实行矿业权有偿取得，以招标、拍卖、挂牌方式出让矿</w:t>
      </w:r>
      <w:r>
        <w:rPr>
          <w:rFonts w:hint="eastAsia" w:ascii="Times New Roman" w:eastAsia="仿宋_GB2312"/>
          <w:sz w:val="32"/>
          <w:szCs w:val="32"/>
        </w:rPr>
        <w:t>业</w:t>
      </w:r>
      <w:r>
        <w:rPr>
          <w:rFonts w:ascii="Times New Roman" w:eastAsia="仿宋_GB2312"/>
          <w:sz w:val="32"/>
          <w:szCs w:val="32"/>
        </w:rPr>
        <w:t>权的规范化管理走向正轨；矿政管理制度进一步完善，勘查开发管理体制机制基本建立，各项管理制度不断完善，依法监督、监测工作得到加强；规范和整改矿业秩序工作持续向纵深发展，违法违规探矿采矿活动得到有效遏制，矿产资源开发秩序进一步好转。</w:t>
      </w:r>
    </w:p>
    <w:p>
      <w:pPr>
        <w:pStyle w:val="3"/>
        <w:spacing w:before="0" w:beforeLines="0" w:after="0" w:afterLines="0" w:line="560" w:lineRule="exact"/>
        <w:jc w:val="both"/>
        <w:rPr>
          <w:rFonts w:ascii="Times New Roman" w:hAnsi="Times New Roman" w:eastAsia="楷体"/>
          <w:sz w:val="32"/>
          <w:szCs w:val="32"/>
        </w:rPr>
      </w:pPr>
      <w:bookmarkStart w:id="16" w:name="_Toc130413601"/>
      <w:r>
        <w:rPr>
          <w:rFonts w:ascii="Times New Roman" w:hAnsi="Times New Roman" w:eastAsia="楷体"/>
          <w:sz w:val="32"/>
          <w:szCs w:val="32"/>
        </w:rPr>
        <w:t>（三）存在问题</w:t>
      </w:r>
      <w:bookmarkEnd w:id="16"/>
    </w:p>
    <w:p>
      <w:pPr>
        <w:spacing w:line="560" w:lineRule="exact"/>
        <w:ind w:firstLine="659" w:firstLineChars="200"/>
        <w:rPr>
          <w:rFonts w:ascii="Times New Roman" w:eastAsia="仿宋_GB2312"/>
          <w:sz w:val="32"/>
          <w:szCs w:val="32"/>
        </w:rPr>
      </w:pPr>
      <w:r>
        <w:rPr>
          <w:rFonts w:ascii="Times New Roman" w:eastAsia="仿宋_GB2312"/>
          <w:b/>
          <w:sz w:val="32"/>
          <w:szCs w:val="32"/>
        </w:rPr>
        <w:t>公益性地质服务仍需加强。</w:t>
      </w:r>
      <w:r>
        <w:rPr>
          <w:rFonts w:ascii="Times New Roman" w:eastAsia="仿宋_GB2312"/>
          <w:sz w:val="32"/>
          <w:szCs w:val="32"/>
        </w:rPr>
        <w:t>地质科技服务民生项目开展仍需加强，矿山地质环境调查、城市地质才刚起步，</w:t>
      </w:r>
      <w:r>
        <w:rPr>
          <w:rFonts w:hint="eastAsia" w:ascii="Times New Roman" w:eastAsia="仿宋_GB2312"/>
          <w:sz w:val="32"/>
          <w:szCs w:val="32"/>
        </w:rPr>
        <w:t>缺乏大比例尺的化探、航磁等工作。</w:t>
      </w:r>
    </w:p>
    <w:p>
      <w:pPr>
        <w:spacing w:line="560" w:lineRule="exact"/>
        <w:ind w:firstLine="659" w:firstLineChars="200"/>
        <w:rPr>
          <w:rFonts w:ascii="Times New Roman"/>
          <w:sz w:val="32"/>
          <w:szCs w:val="32"/>
        </w:rPr>
      </w:pPr>
      <w:r>
        <w:rPr>
          <w:rFonts w:ascii="Times New Roman"/>
          <w:b/>
          <w:bCs/>
          <w:sz w:val="32"/>
          <w:szCs w:val="32"/>
        </w:rPr>
        <w:t>矿产资源勘查投入仍需加大。</w:t>
      </w:r>
      <w:r>
        <w:rPr>
          <w:rFonts w:ascii="Times New Roman"/>
          <w:sz w:val="32"/>
          <w:szCs w:val="32"/>
        </w:rPr>
        <w:t>矿业市场持续低迷，勘查资金投入大幅减少，地质找矿难度增加，可供勘查区域减少，发现可供利用的资源储量难度加大，县域内非常规能源和新兴矿产勘查潜力大，勘查程度低。</w:t>
      </w:r>
    </w:p>
    <w:p>
      <w:pPr>
        <w:spacing w:line="560" w:lineRule="exact"/>
        <w:ind w:firstLine="659" w:firstLineChars="200"/>
        <w:rPr>
          <w:rFonts w:ascii="Times New Roman" w:eastAsia="仿宋_GB2312"/>
          <w:sz w:val="32"/>
          <w:szCs w:val="32"/>
        </w:rPr>
      </w:pPr>
      <w:r>
        <w:rPr>
          <w:rFonts w:hint="eastAsia" w:ascii="Times New Roman" w:eastAsia="仿宋_GB2312"/>
          <w:b/>
          <w:sz w:val="32"/>
          <w:szCs w:val="32"/>
        </w:rPr>
        <w:t>绿色发展任务任重道远。</w:t>
      </w:r>
      <w:r>
        <w:rPr>
          <w:rFonts w:ascii="Times New Roman" w:eastAsia="仿宋_GB2312"/>
          <w:sz w:val="32"/>
          <w:szCs w:val="32"/>
        </w:rPr>
        <w:t>历史遗留矿山地质环境</w:t>
      </w:r>
      <w:r>
        <w:rPr>
          <w:rFonts w:hint="eastAsia" w:ascii="Times New Roman" w:eastAsia="仿宋_GB2312"/>
          <w:sz w:val="32"/>
          <w:szCs w:val="32"/>
        </w:rPr>
        <w:t>问题依然存在，绿色勘查新技术新方法仍需推广，绿色矿山建成率有待提高。</w:t>
      </w:r>
    </w:p>
    <w:p>
      <w:pPr>
        <w:pStyle w:val="3"/>
        <w:spacing w:before="0" w:beforeLines="0" w:after="0" w:afterLines="0" w:line="560" w:lineRule="exact"/>
        <w:jc w:val="both"/>
        <w:rPr>
          <w:rFonts w:ascii="Times New Roman" w:hAnsi="Times New Roman" w:eastAsia="楷体"/>
          <w:sz w:val="32"/>
          <w:szCs w:val="32"/>
        </w:rPr>
      </w:pPr>
      <w:bookmarkStart w:id="17" w:name="_Toc130413602"/>
      <w:r>
        <w:rPr>
          <w:rFonts w:ascii="Times New Roman" w:hAnsi="Times New Roman" w:eastAsia="楷体"/>
          <w:sz w:val="32"/>
          <w:szCs w:val="32"/>
        </w:rPr>
        <w:t>（四）形势及要求</w:t>
      </w:r>
      <w:bookmarkEnd w:id="17"/>
    </w:p>
    <w:p>
      <w:pPr>
        <w:spacing w:line="560" w:lineRule="exact"/>
        <w:ind w:firstLine="656" w:firstLineChars="200"/>
        <w:rPr>
          <w:rFonts w:ascii="Times New Roman" w:eastAsia="仿宋_GB2312"/>
          <w:sz w:val="32"/>
          <w:szCs w:val="32"/>
        </w:rPr>
      </w:pPr>
      <w:r>
        <w:rPr>
          <w:rFonts w:ascii="Times New Roman" w:eastAsia="仿宋_GB2312"/>
          <w:sz w:val="32"/>
          <w:szCs w:val="32"/>
        </w:rPr>
        <w:t>“十四五”时期</w:t>
      </w:r>
      <w:r>
        <w:rPr>
          <w:rFonts w:hint="eastAsia" w:ascii="Times New Roman" w:eastAsia="仿宋_GB2312"/>
          <w:sz w:val="32"/>
          <w:szCs w:val="32"/>
        </w:rPr>
        <w:t>是我国开启全面建设社会主义现代化国家新征程的第一个五年，我国经济已由高速增长阶段转向高质量发展阶段。伊宁县</w:t>
      </w:r>
      <w:r>
        <w:rPr>
          <w:rFonts w:ascii="Times New Roman" w:eastAsia="仿宋_GB2312"/>
          <w:sz w:val="32"/>
          <w:szCs w:val="32"/>
        </w:rPr>
        <w:t>正处于产业转型升级的重要关口，</w:t>
      </w:r>
      <w:r>
        <w:rPr>
          <w:rFonts w:hint="eastAsia" w:ascii="Times New Roman" w:eastAsia="仿宋_GB2312"/>
          <w:sz w:val="32"/>
          <w:szCs w:val="32"/>
        </w:rPr>
        <w:t>面对新时代国家对能源资源安全保障提出的新要求</w:t>
      </w:r>
      <w:r>
        <w:rPr>
          <w:rFonts w:ascii="Times New Roman" w:eastAsia="仿宋_GB2312"/>
          <w:sz w:val="32"/>
          <w:szCs w:val="32"/>
        </w:rPr>
        <w:t>，必须紧跟社会大局，响应国家建设“一带一路</w:t>
      </w:r>
      <w:r>
        <w:rPr>
          <w:rFonts w:hint="eastAsia" w:ascii="Times New Roman" w:eastAsia="仿宋_GB2312"/>
          <w:sz w:val="32"/>
          <w:szCs w:val="32"/>
          <w:lang w:eastAsia="zh-CN"/>
        </w:rPr>
        <w:t>”“</w:t>
      </w:r>
      <w:r>
        <w:rPr>
          <w:rFonts w:ascii="Times New Roman" w:eastAsia="仿宋_GB2312"/>
          <w:sz w:val="32"/>
          <w:szCs w:val="32"/>
        </w:rPr>
        <w:t>西部大开发”的号召，树立“创新、协调、绿色、开放、共享”的发展理念，</w:t>
      </w:r>
      <w:r>
        <w:rPr>
          <w:rFonts w:hint="eastAsia" w:ascii="Times New Roman" w:eastAsia="仿宋_GB2312"/>
          <w:sz w:val="32"/>
          <w:szCs w:val="32"/>
        </w:rPr>
        <w:t>贯彻落实</w:t>
      </w:r>
      <w:r>
        <w:rPr>
          <w:rFonts w:ascii="Times New Roman" w:eastAsia="仿宋_GB2312"/>
          <w:sz w:val="32"/>
          <w:szCs w:val="32"/>
        </w:rPr>
        <w:t>“两霍两伊</w:t>
      </w:r>
      <w:r>
        <w:rPr>
          <w:rFonts w:hint="eastAsia" w:ascii="Times New Roman" w:eastAsia="仿宋_GB2312"/>
          <w:sz w:val="32"/>
          <w:szCs w:val="32"/>
        </w:rPr>
        <w:t>区域一体化</w:t>
      </w:r>
      <w:r>
        <w:rPr>
          <w:rFonts w:ascii="Times New Roman" w:eastAsia="仿宋_GB2312"/>
          <w:sz w:val="32"/>
          <w:szCs w:val="32"/>
        </w:rPr>
        <w:t>”</w:t>
      </w:r>
      <w:r>
        <w:rPr>
          <w:rFonts w:hint="eastAsia" w:ascii="Times New Roman" w:eastAsia="仿宋_GB2312"/>
          <w:sz w:val="32"/>
          <w:szCs w:val="32"/>
        </w:rPr>
        <w:t>的政策导向</w:t>
      </w:r>
      <w:r>
        <w:rPr>
          <w:rFonts w:ascii="Times New Roman" w:eastAsia="仿宋_GB2312"/>
          <w:sz w:val="32"/>
          <w:szCs w:val="32"/>
        </w:rPr>
        <w:t>，坚持绿色发展，发展现代化集约高效矿业，以提高发展质量和效益为中心，加强资源供给侧结构性改革，发展绿色低碳循环经济</w:t>
      </w:r>
      <w:r>
        <w:rPr>
          <w:rFonts w:hint="eastAsia" w:ascii="Times New Roman" w:eastAsia="仿宋_GB2312"/>
          <w:sz w:val="32"/>
          <w:szCs w:val="32"/>
        </w:rPr>
        <w:t>。</w:t>
      </w:r>
    </w:p>
    <w:p>
      <w:pPr>
        <w:spacing w:line="560" w:lineRule="exact"/>
        <w:ind w:firstLine="659" w:firstLineChars="200"/>
        <w:rPr>
          <w:rFonts w:ascii="Times New Roman" w:eastAsia="仿宋_GB2312"/>
          <w:sz w:val="32"/>
          <w:szCs w:val="32"/>
        </w:rPr>
      </w:pPr>
      <w:r>
        <w:rPr>
          <w:rFonts w:ascii="Times New Roman" w:eastAsia="仿宋_GB2312"/>
          <w:b/>
          <w:bCs/>
          <w:sz w:val="32"/>
          <w:szCs w:val="32"/>
        </w:rPr>
        <w:t>经济社会发展要求提高矿产资源保障能力。</w:t>
      </w:r>
      <w:r>
        <w:rPr>
          <w:rFonts w:hint="eastAsia" w:ascii="Times New Roman" w:eastAsia="仿宋_GB2312"/>
          <w:sz w:val="32"/>
          <w:szCs w:val="32"/>
        </w:rPr>
        <w:t>“十四五”期间</w:t>
      </w:r>
      <w:r>
        <w:rPr>
          <w:rFonts w:ascii="Times New Roman" w:eastAsia="仿宋_GB2312"/>
          <w:sz w:val="32"/>
          <w:szCs w:val="32"/>
        </w:rPr>
        <w:t>，在各类政策</w:t>
      </w:r>
      <w:r>
        <w:rPr>
          <w:rFonts w:hint="eastAsia" w:ascii="Times New Roman" w:eastAsia="仿宋_GB2312"/>
          <w:sz w:val="32"/>
          <w:szCs w:val="32"/>
        </w:rPr>
        <w:t>扶持</w:t>
      </w:r>
      <w:r>
        <w:rPr>
          <w:rFonts w:ascii="Times New Roman" w:eastAsia="仿宋_GB2312"/>
          <w:sz w:val="32"/>
          <w:szCs w:val="32"/>
        </w:rPr>
        <w:t>下，伊宁县基础设施和城镇化进程加快，</w:t>
      </w:r>
      <w:r>
        <w:rPr>
          <w:rFonts w:hint="eastAsia" w:ascii="Times New Roman" w:eastAsia="仿宋_GB2312"/>
          <w:sz w:val="32"/>
          <w:szCs w:val="32"/>
        </w:rPr>
        <w:t>初步形成了现代煤化工循环经济产业链，为加快有色金属精深加工循环经济产业和建材产业优化升级</w:t>
      </w:r>
      <w:r>
        <w:rPr>
          <w:rFonts w:ascii="Times New Roman" w:eastAsia="仿宋_GB2312"/>
          <w:sz w:val="32"/>
          <w:szCs w:val="32"/>
        </w:rPr>
        <w:t>，需要矿产资源持续、有效供给。</w:t>
      </w:r>
    </w:p>
    <w:p>
      <w:pPr>
        <w:spacing w:line="560" w:lineRule="exact"/>
        <w:ind w:firstLine="643"/>
        <w:rPr>
          <w:rFonts w:ascii="Times New Roman" w:eastAsia="仿宋_GB2312"/>
          <w:sz w:val="32"/>
          <w:szCs w:val="32"/>
        </w:rPr>
      </w:pPr>
      <w:r>
        <w:rPr>
          <w:rFonts w:ascii="Times New Roman" w:eastAsia="仿宋_GB2312"/>
          <w:b/>
          <w:bCs/>
          <w:sz w:val="32"/>
          <w:szCs w:val="32"/>
        </w:rPr>
        <w:t>深化改革要求创新矿产资源管理方式</w:t>
      </w:r>
      <w:r>
        <w:rPr>
          <w:rFonts w:ascii="Times New Roman" w:eastAsia="仿宋_GB2312"/>
          <w:sz w:val="32"/>
          <w:szCs w:val="32"/>
        </w:rPr>
        <w:t>。随着“放管服”改革的深入，市场需求与资源配置有效衔接不够充分，资源配置精准度不高，资源开发经济调节和利益分配机制不够合理，需要深化改革和加快矿产资源管理体制机制创新。健全矿业市场竞争机制，充分激发市场活力，加强矿业领域诚信体系建设。做好非金属矿产资源开发的区域管控和准入管理，转变规划理念、思路和方法，激发市场活力，繁荣发展矿业市场。加强“互联网+”在矿产资源领域运用，提供优质高效的公共服务。</w:t>
      </w:r>
    </w:p>
    <w:p>
      <w:pPr>
        <w:spacing w:line="560" w:lineRule="exact"/>
        <w:ind w:firstLine="659" w:firstLineChars="200"/>
        <w:rPr>
          <w:rFonts w:ascii="Times New Roman" w:eastAsia="仿宋_GB2312"/>
          <w:sz w:val="32"/>
          <w:szCs w:val="32"/>
        </w:rPr>
      </w:pPr>
      <w:r>
        <w:rPr>
          <w:rFonts w:ascii="Times New Roman" w:eastAsia="仿宋_GB2312"/>
          <w:b/>
          <w:sz w:val="32"/>
          <w:szCs w:val="32"/>
        </w:rPr>
        <w:t>高质量发展需要资源高效利用。</w:t>
      </w:r>
      <w:r>
        <w:rPr>
          <w:rFonts w:ascii="Times New Roman" w:eastAsia="仿宋_GB2312"/>
          <w:sz w:val="32"/>
          <w:szCs w:val="32"/>
        </w:rPr>
        <w:t>高质量发展要求全面提升矿产资源开发利用水平和利用效率，转变资源开发利用方式，加快矿业结构调整和转型升级，提高矿山智能化水平，促进经济、社会、资源、环境协调稳定发展。按照“减量化、再利用、资源化”原则，加强节能减排，提升尾矿、废石等固体废弃物的有效处置与综合利用水平，延长产业链，加强产品高端化、精品化、差异化发展，将资源优势转化为经济优势。</w:t>
      </w:r>
    </w:p>
    <w:p>
      <w:pPr>
        <w:spacing w:line="560" w:lineRule="exact"/>
        <w:ind w:firstLine="665" w:firstLineChars="202"/>
        <w:rPr>
          <w:rFonts w:ascii="Times New Roman" w:eastAsia="仿宋_GB2312"/>
          <w:sz w:val="32"/>
          <w:szCs w:val="32"/>
        </w:rPr>
      </w:pPr>
      <w:r>
        <w:rPr>
          <w:rFonts w:ascii="Times New Roman" w:eastAsia="仿宋_GB2312"/>
          <w:b/>
          <w:sz w:val="32"/>
          <w:szCs w:val="32"/>
        </w:rPr>
        <w:t>生态文明建设需要发展绿色矿业。</w:t>
      </w:r>
      <w:r>
        <w:rPr>
          <w:rFonts w:ascii="Times New Roman" w:eastAsia="仿宋_GB2312"/>
          <w:sz w:val="32"/>
          <w:szCs w:val="32"/>
        </w:rPr>
        <w:t>解决历史遗留的矿山地质环境问题，要坚持习近平生态文明思想，坚持节约优先、保护优先、自然恢复为主的方针，树立新发展理念，同时</w:t>
      </w:r>
      <w:r>
        <w:rPr>
          <w:rFonts w:hint="eastAsia" w:ascii="Times New Roman" w:eastAsia="仿宋_GB2312"/>
          <w:sz w:val="32"/>
          <w:szCs w:val="32"/>
        </w:rPr>
        <w:t>伊宁县</w:t>
      </w:r>
      <w:r>
        <w:rPr>
          <w:rFonts w:ascii="Times New Roman" w:eastAsia="仿宋_GB2312"/>
          <w:sz w:val="32"/>
          <w:szCs w:val="32"/>
        </w:rPr>
        <w:t>旅游产业的发展对协调资源开发和生态保护提出了更高的要求，打造生态宜居城，需要矿产资源牢固树立绿色发展理念，推进绿色勘查，加快绿色矿山建设，构建山水林田湖草沙冰系统保护和修复的治理体系，提高矿山清洁化生产及综合利用水平，坚持资源节约集约、循环利用，构建矿业高质量发展新格局，建设人与自然和谐共生的生态矿业。</w:t>
      </w:r>
    </w:p>
    <w:p>
      <w:pPr>
        <w:spacing w:line="560" w:lineRule="exact"/>
        <w:ind w:firstLine="643"/>
        <w:rPr>
          <w:rFonts w:ascii="Times New Roman" w:eastAsia="仿宋_GB2312"/>
          <w:sz w:val="32"/>
          <w:szCs w:val="32"/>
        </w:rPr>
      </w:pPr>
      <w:bookmarkStart w:id="18" w:name="_Toc80824665"/>
      <w:r>
        <w:rPr>
          <w:rFonts w:ascii="Times New Roman" w:eastAsia="仿宋_GB2312"/>
          <w:sz w:val="32"/>
          <w:szCs w:val="32"/>
        </w:rPr>
        <w:br w:type="page"/>
      </w:r>
    </w:p>
    <w:p>
      <w:pPr>
        <w:pStyle w:val="2"/>
        <w:spacing w:before="0" w:beforeLines="0" w:after="0" w:afterLines="0" w:line="560" w:lineRule="exact"/>
        <w:ind w:left="1440" w:hanging="720"/>
        <w:jc w:val="both"/>
        <w:rPr>
          <w:rFonts w:ascii="Times New Roman" w:eastAsia="黑体"/>
          <w:b w:val="0"/>
          <w:bCs/>
          <w:sz w:val="36"/>
          <w:szCs w:val="36"/>
        </w:rPr>
      </w:pPr>
      <w:bookmarkStart w:id="19" w:name="_Toc130413603"/>
      <w:r>
        <w:rPr>
          <w:rFonts w:ascii="Times New Roman" w:eastAsia="黑体"/>
          <w:b w:val="0"/>
          <w:bCs/>
          <w:sz w:val="36"/>
          <w:szCs w:val="36"/>
        </w:rPr>
        <w:t>二、指导</w:t>
      </w:r>
      <w:r>
        <w:rPr>
          <w:rFonts w:hint="eastAsia" w:ascii="Times New Roman" w:eastAsia="黑体"/>
          <w:b w:val="0"/>
          <w:bCs/>
          <w:sz w:val="36"/>
          <w:szCs w:val="36"/>
        </w:rPr>
        <w:t>思想</w:t>
      </w:r>
      <w:r>
        <w:rPr>
          <w:rFonts w:ascii="Times New Roman" w:eastAsia="黑体"/>
          <w:b w:val="0"/>
          <w:bCs/>
          <w:sz w:val="36"/>
          <w:szCs w:val="36"/>
        </w:rPr>
        <w:t>与目标</w:t>
      </w:r>
      <w:bookmarkEnd w:id="18"/>
      <w:bookmarkEnd w:id="19"/>
    </w:p>
    <w:p>
      <w:pPr>
        <w:pStyle w:val="3"/>
        <w:spacing w:before="0" w:beforeLines="0" w:after="0" w:afterLines="0" w:line="560" w:lineRule="exact"/>
        <w:ind w:firstLine="659" w:firstLineChars="200"/>
        <w:jc w:val="both"/>
        <w:rPr>
          <w:rFonts w:ascii="Times New Roman" w:hAnsi="Times New Roman" w:eastAsia="楷体"/>
          <w:sz w:val="32"/>
          <w:szCs w:val="32"/>
        </w:rPr>
      </w:pPr>
      <w:bookmarkStart w:id="20" w:name="_Toc80824666"/>
      <w:bookmarkStart w:id="21" w:name="_Toc130413604"/>
      <w:r>
        <w:rPr>
          <w:rFonts w:ascii="Times New Roman" w:hAnsi="Times New Roman" w:eastAsia="楷体"/>
          <w:sz w:val="32"/>
          <w:szCs w:val="32"/>
        </w:rPr>
        <w:t>（一）指导思想</w:t>
      </w:r>
      <w:bookmarkEnd w:id="20"/>
      <w:bookmarkEnd w:id="21"/>
    </w:p>
    <w:p>
      <w:pPr>
        <w:spacing w:line="560" w:lineRule="exact"/>
        <w:ind w:firstLine="643"/>
        <w:rPr>
          <w:rFonts w:ascii="Times New Roman" w:eastAsia="仿宋_GB2312"/>
          <w:sz w:val="32"/>
          <w:szCs w:val="32"/>
        </w:rPr>
      </w:pPr>
      <w:r>
        <w:rPr>
          <w:rFonts w:ascii="Times New Roman" w:eastAsia="仿宋_GB2312"/>
          <w:sz w:val="32"/>
          <w:szCs w:val="32"/>
        </w:rPr>
        <w:t>以习近平新时代中国特色社会主义思想为指导，</w:t>
      </w:r>
      <w:r>
        <w:rPr>
          <w:rFonts w:hint="eastAsia" w:ascii="Times New Roman" w:eastAsia="仿宋_GB2312"/>
          <w:sz w:val="32"/>
          <w:szCs w:val="32"/>
        </w:rPr>
        <w:t>深入</w:t>
      </w:r>
      <w:r>
        <w:rPr>
          <w:rFonts w:ascii="Times New Roman" w:eastAsia="仿宋_GB2312"/>
          <w:sz w:val="32"/>
          <w:szCs w:val="32"/>
        </w:rPr>
        <w:t>贯彻党的</w:t>
      </w:r>
      <w:r>
        <w:rPr>
          <w:rFonts w:hint="eastAsia" w:ascii="Times New Roman" w:eastAsia="仿宋_GB2312"/>
          <w:sz w:val="32"/>
          <w:szCs w:val="32"/>
        </w:rPr>
        <w:t>二十大</w:t>
      </w:r>
      <w:r>
        <w:rPr>
          <w:rFonts w:ascii="Times New Roman" w:eastAsia="仿宋_GB2312"/>
          <w:sz w:val="32"/>
          <w:szCs w:val="32"/>
        </w:rPr>
        <w:t>精神，贯彻落实第三次中央新疆工作座谈会精神，</w:t>
      </w:r>
      <w:r>
        <w:rPr>
          <w:rFonts w:hint="eastAsia" w:ascii="Times New Roman" w:eastAsia="仿宋_GB2312"/>
          <w:sz w:val="32"/>
          <w:szCs w:val="32"/>
        </w:rPr>
        <w:t>特别是习近平总书记重要讲话精神，</w:t>
      </w:r>
      <w:r>
        <w:rPr>
          <w:rFonts w:ascii="Times New Roman" w:eastAsia="仿宋_GB2312"/>
          <w:sz w:val="32"/>
          <w:szCs w:val="32"/>
        </w:rPr>
        <w:t>完整准确贯彻新时代党的治疆方略，牢牢扭住社会稳定和长治久安总目标</w:t>
      </w:r>
      <w:r>
        <w:rPr>
          <w:rFonts w:hint="eastAsia" w:ascii="Times New Roman" w:eastAsia="仿宋_GB2312"/>
          <w:sz w:val="32"/>
          <w:szCs w:val="32"/>
        </w:rPr>
        <w:t>，</w:t>
      </w:r>
      <w:r>
        <w:rPr>
          <w:rFonts w:ascii="Times New Roman" w:eastAsia="仿宋_GB2312"/>
          <w:sz w:val="32"/>
          <w:szCs w:val="32"/>
        </w:rPr>
        <w:t>立足新发展阶段、贯彻新发展理念、融入新发展格局，紧扣国家能源资源安全战略。</w:t>
      </w:r>
    </w:p>
    <w:p>
      <w:pPr>
        <w:widowControl/>
        <w:adjustRightInd/>
        <w:spacing w:line="560" w:lineRule="exact"/>
        <w:ind w:firstLine="656" w:firstLineChars="200"/>
        <w:rPr>
          <w:rFonts w:ascii="Times New Roman" w:eastAsia="仿宋_GB2312"/>
          <w:sz w:val="32"/>
          <w:szCs w:val="32"/>
        </w:rPr>
      </w:pPr>
      <w:r>
        <w:rPr>
          <w:rFonts w:hint="eastAsia" w:ascii="Times New Roman" w:eastAsia="仿宋_GB2312"/>
          <w:sz w:val="32"/>
          <w:szCs w:val="32"/>
        </w:rPr>
        <w:t>发挥伊宁县区位优势，</w:t>
      </w:r>
      <w:r>
        <w:rPr>
          <w:rFonts w:ascii="Times New Roman" w:eastAsia="仿宋_GB2312"/>
          <w:sz w:val="32"/>
          <w:szCs w:val="32"/>
        </w:rPr>
        <w:t>结合伊宁县矿产资源的勘查开发特点，在国家产业政策的指导下，以矿业高质量绿色发展为主题，以优势资源为依托，以科学进步为动力，以资源开发可持续、生态环境可持续道路为根本出发点，全面提高资源利用效率，提升矿业开发水平，深化矿产资源管理改革，推动矿业智能化、绿色化，实现矿业更高质量、更有效率、更加公平、更可持续的发展。充分利用</w:t>
      </w:r>
      <w:r>
        <w:rPr>
          <w:rFonts w:hint="eastAsia" w:ascii="Times New Roman" w:eastAsia="仿宋_GB2312"/>
          <w:sz w:val="32"/>
          <w:szCs w:val="32"/>
        </w:rPr>
        <w:t>伊宁县</w:t>
      </w:r>
      <w:r>
        <w:rPr>
          <w:rFonts w:ascii="Times New Roman" w:eastAsia="仿宋_GB2312"/>
          <w:sz w:val="32"/>
          <w:szCs w:val="32"/>
        </w:rPr>
        <w:t>的煤、金等矿产资源，使资源优势转变为经济优势，带动相关产业的发展，最终实现经济效益、环境效益和社会效益的高度统一，全面开启建设社会主义现代化新征程，为2035年基本实现社会主义现代化目标奠定坚实基础。</w:t>
      </w:r>
    </w:p>
    <w:p>
      <w:pPr>
        <w:pStyle w:val="3"/>
        <w:spacing w:before="0" w:beforeLines="0" w:after="0" w:afterLines="0" w:line="560" w:lineRule="exact"/>
        <w:ind w:firstLine="659" w:firstLineChars="200"/>
        <w:jc w:val="both"/>
        <w:rPr>
          <w:rFonts w:ascii="Times New Roman" w:hAnsi="Times New Roman" w:eastAsia="楷体"/>
          <w:sz w:val="32"/>
          <w:szCs w:val="32"/>
        </w:rPr>
      </w:pPr>
      <w:bookmarkStart w:id="22" w:name="_Toc130413605"/>
      <w:bookmarkStart w:id="23" w:name="_Toc80824667"/>
      <w:r>
        <w:rPr>
          <w:rFonts w:ascii="Times New Roman" w:hAnsi="Times New Roman" w:eastAsia="楷体"/>
          <w:sz w:val="32"/>
          <w:szCs w:val="32"/>
        </w:rPr>
        <w:t>（二）基本原则</w:t>
      </w:r>
      <w:bookmarkEnd w:id="22"/>
      <w:bookmarkEnd w:id="23"/>
    </w:p>
    <w:p>
      <w:pPr>
        <w:widowControl/>
        <w:adjustRightInd/>
        <w:spacing w:line="560" w:lineRule="exact"/>
        <w:ind w:firstLine="659" w:firstLineChars="200"/>
        <w:rPr>
          <w:rFonts w:ascii="Times New Roman" w:eastAsia="仿宋_GB2312"/>
          <w:sz w:val="32"/>
          <w:szCs w:val="32"/>
        </w:rPr>
      </w:pPr>
      <w:r>
        <w:rPr>
          <w:rFonts w:hint="eastAsia" w:ascii="Times New Roman" w:eastAsia="仿宋_GB2312"/>
          <w:b/>
          <w:sz w:val="32"/>
          <w:szCs w:val="32"/>
        </w:rPr>
        <w:t>需求引领</w:t>
      </w:r>
      <w:r>
        <w:rPr>
          <w:rFonts w:ascii="Times New Roman" w:eastAsia="仿宋_GB2312"/>
          <w:b/>
          <w:sz w:val="32"/>
          <w:szCs w:val="32"/>
        </w:rPr>
        <w:t>，保障供应。</w:t>
      </w:r>
      <w:r>
        <w:rPr>
          <w:rFonts w:ascii="Times New Roman" w:eastAsia="仿宋_GB2312"/>
          <w:sz w:val="32"/>
          <w:szCs w:val="32"/>
        </w:rPr>
        <w:t>从重点成矿区带的调查评价入手，加大战略性矿产、大宗优势矿产和亟需矿产的勘查力度，持续推进找矿突破，不断增加可利用的资源储量，提高优势矿产资源的保障能力；充分发挥资源优势，提升矿山企业综合竞争力，培育壮大优势矿产资源产业，</w:t>
      </w:r>
      <w:r>
        <w:rPr>
          <w:rFonts w:hint="eastAsia" w:ascii="Times New Roman" w:eastAsia="仿宋_GB2312"/>
          <w:sz w:val="32"/>
          <w:szCs w:val="32"/>
        </w:rPr>
        <w:t>不断提高资源利用水平，延伸下游产业链，为经济社会发展提供可靠的资源保障。</w:t>
      </w:r>
    </w:p>
    <w:p>
      <w:pPr>
        <w:widowControl/>
        <w:adjustRightInd/>
        <w:spacing w:line="560" w:lineRule="exact"/>
        <w:ind w:firstLine="659" w:firstLineChars="200"/>
        <w:rPr>
          <w:rFonts w:ascii="Times New Roman" w:eastAsia="仿宋_GB2312"/>
          <w:sz w:val="32"/>
          <w:szCs w:val="32"/>
        </w:rPr>
      </w:pPr>
      <w:r>
        <w:rPr>
          <w:rFonts w:hint="eastAsia" w:ascii="Times New Roman" w:eastAsia="仿宋_GB2312"/>
          <w:b/>
          <w:sz w:val="32"/>
          <w:szCs w:val="32"/>
        </w:rPr>
        <w:t>生态优先，绿色发展</w:t>
      </w:r>
      <w:r>
        <w:rPr>
          <w:rFonts w:ascii="Times New Roman" w:eastAsia="仿宋_GB2312"/>
          <w:b/>
          <w:sz w:val="32"/>
          <w:szCs w:val="32"/>
        </w:rPr>
        <w:t>。</w:t>
      </w:r>
      <w:r>
        <w:rPr>
          <w:rFonts w:hint="eastAsia" w:ascii="Times New Roman" w:eastAsia="仿宋_GB2312"/>
          <w:sz w:val="32"/>
          <w:szCs w:val="32"/>
        </w:rPr>
        <w:t>贯彻习近平生态文明思想，坚持“绿水青山就是金山银山”理念，坚持节约优先、保护优先，守住自然生态安全边界。</w:t>
      </w:r>
      <w:r>
        <w:rPr>
          <w:rFonts w:ascii="Times New Roman" w:eastAsia="仿宋_GB2312"/>
          <w:sz w:val="32"/>
          <w:szCs w:val="32"/>
        </w:rPr>
        <w:t>加速推进绿色勘查、绿色矿山建设，加速推进矿山地质环境综合治理，加快推进山水林田湖草沙冰一体化</w:t>
      </w:r>
      <w:r>
        <w:rPr>
          <w:rFonts w:hint="eastAsia" w:ascii="Times New Roman" w:eastAsia="仿宋_GB2312"/>
          <w:sz w:val="32"/>
          <w:szCs w:val="32"/>
        </w:rPr>
        <w:t>保护</w:t>
      </w:r>
      <w:r>
        <w:rPr>
          <w:rFonts w:ascii="Times New Roman" w:eastAsia="仿宋_GB2312"/>
          <w:sz w:val="32"/>
          <w:szCs w:val="32"/>
        </w:rPr>
        <w:t>和系统治理，加快推进重要生态屏障建设，加快发展方式绿色转型。</w:t>
      </w:r>
      <w:r>
        <w:rPr>
          <w:rFonts w:hint="eastAsia" w:ascii="Times New Roman" w:eastAsia="仿宋_GB2312"/>
          <w:sz w:val="32"/>
          <w:szCs w:val="32"/>
        </w:rPr>
        <w:t>优先安排经济建设急需、环境影响程度低的矿产勘查开发项目。</w:t>
      </w:r>
    </w:p>
    <w:p>
      <w:pPr>
        <w:widowControl/>
        <w:adjustRightInd/>
        <w:spacing w:line="560" w:lineRule="exact"/>
        <w:ind w:firstLine="659" w:firstLineChars="200"/>
        <w:rPr>
          <w:rFonts w:ascii="Times New Roman" w:eastAsia="仿宋_GB2312"/>
          <w:sz w:val="32"/>
          <w:szCs w:val="32"/>
        </w:rPr>
      </w:pPr>
      <w:r>
        <w:rPr>
          <w:rFonts w:hint="eastAsia" w:ascii="Times New Roman" w:eastAsia="仿宋_GB2312"/>
          <w:b/>
          <w:sz w:val="32"/>
          <w:szCs w:val="32"/>
        </w:rPr>
        <w:t>合理开发</w:t>
      </w:r>
      <w:r>
        <w:rPr>
          <w:rFonts w:ascii="Times New Roman" w:eastAsia="仿宋_GB2312"/>
          <w:b/>
          <w:sz w:val="32"/>
          <w:szCs w:val="32"/>
        </w:rPr>
        <w:t>，</w:t>
      </w:r>
      <w:r>
        <w:rPr>
          <w:rFonts w:hint="eastAsia" w:ascii="Times New Roman" w:eastAsia="仿宋_GB2312"/>
          <w:b/>
          <w:sz w:val="32"/>
          <w:szCs w:val="32"/>
        </w:rPr>
        <w:t>有效保护</w:t>
      </w:r>
      <w:r>
        <w:rPr>
          <w:rFonts w:ascii="Times New Roman" w:eastAsia="仿宋_GB2312"/>
          <w:b/>
          <w:sz w:val="32"/>
          <w:szCs w:val="32"/>
        </w:rPr>
        <w:t>。</w:t>
      </w:r>
      <w:r>
        <w:rPr>
          <w:rFonts w:hint="eastAsia" w:ascii="Times New Roman" w:eastAsia="仿宋_GB2312"/>
          <w:sz w:val="32"/>
          <w:szCs w:val="32"/>
        </w:rPr>
        <w:t>依据相关法律、法规及政策要求，合理调控主要矿产资源开采总量，调整优化矿产资源开发利用结构，科学划定矿产资源勘查和开发利用规划区，合理设置探矿权、采矿权；严格矿业权准入和退出机制，整顿和规范矿产资源开发秩序，转变资源利用方式，推进资源集约节约开发利用。统筹安排矿产勘查开发布局与时序，形成协调有序的资源开发与保护新格局。与国土空间规划、经济规划等有机衔接，实现多规融合。</w:t>
      </w:r>
    </w:p>
    <w:p>
      <w:pPr>
        <w:widowControl/>
        <w:adjustRightInd/>
        <w:spacing w:line="560" w:lineRule="exact"/>
        <w:ind w:firstLine="659" w:firstLineChars="200"/>
        <w:rPr>
          <w:rFonts w:ascii="Times New Roman" w:eastAsia="仿宋_GB2312"/>
          <w:sz w:val="32"/>
          <w:szCs w:val="32"/>
        </w:rPr>
      </w:pPr>
      <w:r>
        <w:rPr>
          <w:rFonts w:hint="eastAsia" w:ascii="Times New Roman" w:eastAsia="仿宋_GB2312"/>
          <w:b/>
          <w:sz w:val="32"/>
          <w:szCs w:val="32"/>
        </w:rPr>
        <w:t>市场配置、公平竞争。</w:t>
      </w:r>
      <w:r>
        <w:rPr>
          <w:rFonts w:hint="eastAsia" w:ascii="Times New Roman" w:eastAsia="仿宋_GB2312"/>
          <w:sz w:val="32"/>
          <w:szCs w:val="32"/>
        </w:rPr>
        <w:t>进一步简政放权，创新行政管理方式，推进矿产资源管理重点领域和关键环节改革，全面推行矿业权竞争性出让、精准出让，更好发挥政府调控作用，激发市场主体活力。深入实施创新驱动发展战略，加快矿业转型升级，寻找新资源，增加新供给，培育新动力，拓展新空间。</w:t>
      </w:r>
    </w:p>
    <w:p>
      <w:pPr>
        <w:widowControl/>
        <w:adjustRightInd/>
        <w:spacing w:line="560" w:lineRule="exact"/>
        <w:ind w:firstLine="659" w:firstLineChars="200"/>
        <w:rPr>
          <w:rFonts w:ascii="Times New Roman" w:eastAsia="仿宋_GB2312"/>
          <w:sz w:val="32"/>
          <w:szCs w:val="32"/>
        </w:rPr>
      </w:pPr>
      <w:r>
        <w:rPr>
          <w:rFonts w:ascii="Times New Roman" w:eastAsia="仿宋_GB2312"/>
          <w:b/>
          <w:sz w:val="32"/>
          <w:szCs w:val="32"/>
        </w:rPr>
        <w:t>互利共赢，开放合作。</w:t>
      </w:r>
      <w:r>
        <w:rPr>
          <w:rFonts w:ascii="Times New Roman" w:eastAsia="仿宋_GB2312"/>
          <w:sz w:val="32"/>
          <w:szCs w:val="32"/>
        </w:rPr>
        <w:t>发挥区位优势，以推进丝绸之路经济带核心区建设为驱动，充分利用“两种资源、两个市场”，积极参与“一带一路”国际矿业合作，建立多元、安全、稳定、高效的矿产资源供应体系。进一步拓展矿业市场合作领域和方式，引进先进技术和管理经验，努力创造良好的投资环境，实现深度交融的合作共赢格局。</w:t>
      </w:r>
    </w:p>
    <w:p>
      <w:pPr>
        <w:pStyle w:val="3"/>
        <w:spacing w:before="0" w:beforeLines="0" w:after="0" w:afterLines="0" w:line="560" w:lineRule="exact"/>
        <w:ind w:firstLine="659" w:firstLineChars="200"/>
        <w:jc w:val="both"/>
        <w:rPr>
          <w:rFonts w:ascii="Times New Roman" w:hAnsi="Times New Roman" w:eastAsia="楷体"/>
          <w:sz w:val="32"/>
          <w:szCs w:val="32"/>
        </w:rPr>
      </w:pPr>
      <w:bookmarkStart w:id="24" w:name="_Toc130413606"/>
      <w:r>
        <w:rPr>
          <w:rFonts w:ascii="Times New Roman" w:hAnsi="Times New Roman" w:eastAsia="楷体"/>
          <w:sz w:val="32"/>
          <w:szCs w:val="32"/>
        </w:rPr>
        <w:t>（</w:t>
      </w:r>
      <w:r>
        <w:rPr>
          <w:rFonts w:hint="eastAsia" w:ascii="Times New Roman" w:hAnsi="Times New Roman" w:eastAsia="楷体"/>
          <w:sz w:val="32"/>
          <w:szCs w:val="32"/>
        </w:rPr>
        <w:t>三</w:t>
      </w:r>
      <w:r>
        <w:rPr>
          <w:rFonts w:ascii="Times New Roman" w:hAnsi="Times New Roman" w:eastAsia="楷体"/>
          <w:sz w:val="32"/>
          <w:szCs w:val="32"/>
        </w:rPr>
        <w:t>）</w:t>
      </w:r>
      <w:r>
        <w:rPr>
          <w:rFonts w:hint="eastAsia" w:ascii="Times New Roman" w:hAnsi="Times New Roman" w:eastAsia="楷体"/>
          <w:sz w:val="32"/>
          <w:szCs w:val="32"/>
        </w:rPr>
        <w:t>规划主要目标</w:t>
      </w:r>
      <w:bookmarkEnd w:id="24"/>
      <w:bookmarkStart w:id="25" w:name="_Toc105969092"/>
    </w:p>
    <w:bookmarkEnd w:id="25"/>
    <w:p>
      <w:pPr>
        <w:widowControl/>
        <w:adjustRightInd/>
        <w:spacing w:line="560" w:lineRule="exact"/>
        <w:ind w:firstLine="659" w:firstLineChars="200"/>
        <w:rPr>
          <w:rFonts w:ascii="Times New Roman"/>
          <w:sz w:val="32"/>
          <w:szCs w:val="32"/>
        </w:rPr>
      </w:pPr>
      <w:r>
        <w:rPr>
          <w:rFonts w:ascii="Times New Roman"/>
          <w:b/>
          <w:bCs/>
          <w:sz w:val="32"/>
          <w:szCs w:val="32"/>
        </w:rPr>
        <w:t>总体目标。</w:t>
      </w:r>
      <w:r>
        <w:rPr>
          <w:rFonts w:ascii="Times New Roman"/>
          <w:sz w:val="32"/>
          <w:szCs w:val="32"/>
        </w:rPr>
        <w:t>以开启全面建设社会主义现代化国家新征程、向第二个百年奋斗目标进军为目标，在充分调研和论证的基础上，充分发挥本地资源潜力，争取公益性地质调查工作资金投入，发现和探明一批有价值矿产资源，满足国民经济和社会发展对矿业的要求；积极引导以市场需求为导向，以经济效益为目的的商业性矿产资源勘查开发活动，矿业开发布局得到大幅度优化，矿业结构得到全面调整；提高矿产资源的采选冶技术和综合利用水平，优化矿产品深加工能力，提高矿产品高科技附加值和经济价值；矿山地质环境状况明显改善，形成绿色矿业新格局；建立严格的矿产资源保护机制，矿产资源管理能力和服务水平得到全面提高。</w:t>
      </w:r>
    </w:p>
    <w:p>
      <w:pPr>
        <w:widowControl/>
        <w:adjustRightInd/>
        <w:spacing w:line="560" w:lineRule="exact"/>
        <w:ind w:firstLine="656" w:firstLineChars="200"/>
        <w:rPr>
          <w:rFonts w:ascii="Times New Roman" w:eastAsia="仿宋_GB2312"/>
          <w:sz w:val="32"/>
          <w:szCs w:val="32"/>
        </w:rPr>
      </w:pPr>
      <w:r>
        <w:rPr>
          <w:rFonts w:ascii="Times New Roman" w:eastAsia="仿宋_GB2312"/>
          <w:sz w:val="32"/>
          <w:szCs w:val="32"/>
        </w:rPr>
        <w:t>以</w:t>
      </w:r>
      <w:r>
        <w:rPr>
          <w:rFonts w:hint="eastAsia" w:ascii="Times New Roman" w:eastAsia="仿宋_GB2312"/>
          <w:sz w:val="32"/>
          <w:szCs w:val="32"/>
        </w:rPr>
        <w:t>伊宁县</w:t>
      </w:r>
      <w:r>
        <w:rPr>
          <w:rFonts w:ascii="Times New Roman" w:eastAsia="仿宋_GB2312"/>
          <w:sz w:val="32"/>
          <w:szCs w:val="32"/>
        </w:rPr>
        <w:t>矿产勘查开发现状为基础，依托</w:t>
      </w:r>
      <w:r>
        <w:rPr>
          <w:rFonts w:hint="eastAsia" w:ascii="Times New Roman" w:eastAsia="仿宋_GB2312"/>
          <w:sz w:val="32"/>
          <w:szCs w:val="32"/>
        </w:rPr>
        <w:t>“伊宁煤矿区北区”及上级规划在区内设置的“重点勘查区</w:t>
      </w:r>
      <w:r>
        <w:rPr>
          <w:rFonts w:hint="eastAsia" w:ascii="Times New Roman" w:eastAsia="仿宋_GB2312"/>
          <w:sz w:val="32"/>
          <w:szCs w:val="32"/>
          <w:lang w:eastAsia="zh-CN"/>
        </w:rPr>
        <w:t>”“</w:t>
      </w:r>
      <w:r>
        <w:rPr>
          <w:rFonts w:hint="eastAsia" w:ascii="Times New Roman" w:eastAsia="仿宋_GB2312"/>
          <w:sz w:val="32"/>
          <w:szCs w:val="32"/>
        </w:rPr>
        <w:t>勘查规划区块</w:t>
      </w:r>
      <w:r>
        <w:rPr>
          <w:rFonts w:hint="eastAsia" w:ascii="Times New Roman" w:eastAsia="仿宋_GB2312"/>
          <w:sz w:val="32"/>
          <w:szCs w:val="32"/>
          <w:lang w:eastAsia="zh-CN"/>
        </w:rPr>
        <w:t>”“</w:t>
      </w:r>
      <w:r>
        <w:rPr>
          <w:rFonts w:hint="eastAsia" w:ascii="Times New Roman" w:eastAsia="仿宋_GB2312"/>
          <w:sz w:val="32"/>
          <w:szCs w:val="32"/>
        </w:rPr>
        <w:t>开采规划区块”</w:t>
      </w:r>
      <w:r>
        <w:rPr>
          <w:rFonts w:ascii="Times New Roman" w:eastAsia="仿宋_GB2312"/>
          <w:sz w:val="32"/>
          <w:szCs w:val="32"/>
        </w:rPr>
        <w:t>，</w:t>
      </w:r>
      <w:r>
        <w:rPr>
          <w:rFonts w:hint="eastAsia" w:ascii="Times New Roman" w:eastAsia="仿宋_GB2312"/>
          <w:sz w:val="32"/>
          <w:szCs w:val="32"/>
        </w:rPr>
        <w:t>以及国家能源局2</w:t>
      </w:r>
      <w:r>
        <w:rPr>
          <w:rFonts w:ascii="Times New Roman" w:eastAsia="仿宋_GB2312"/>
          <w:sz w:val="32"/>
          <w:szCs w:val="32"/>
        </w:rPr>
        <w:t>020</w:t>
      </w:r>
      <w:r>
        <w:rPr>
          <w:rFonts w:hint="eastAsia" w:ascii="Times New Roman" w:eastAsia="仿宋_GB2312"/>
          <w:sz w:val="32"/>
          <w:szCs w:val="32"/>
        </w:rPr>
        <w:t>年1</w:t>
      </w:r>
      <w:r>
        <w:rPr>
          <w:rFonts w:ascii="Times New Roman" w:eastAsia="仿宋_GB2312"/>
          <w:sz w:val="32"/>
          <w:szCs w:val="32"/>
        </w:rPr>
        <w:t>2</w:t>
      </w:r>
      <w:r>
        <w:rPr>
          <w:rFonts w:hint="eastAsia" w:ascii="Times New Roman" w:eastAsia="仿宋_GB2312"/>
          <w:sz w:val="32"/>
          <w:szCs w:val="32"/>
        </w:rPr>
        <w:t>月核准的“</w:t>
      </w:r>
      <w:bookmarkStart w:id="26" w:name="_Hlk87636047"/>
      <w:r>
        <w:rPr>
          <w:rFonts w:ascii="Times New Roman" w:eastAsia="仿宋_GB2312"/>
          <w:sz w:val="32"/>
          <w:szCs w:val="32"/>
        </w:rPr>
        <w:t>伊宁矿区北区七号矿井一期矿山</w:t>
      </w:r>
      <w:r>
        <w:rPr>
          <w:rFonts w:hint="eastAsia" w:ascii="Times New Roman" w:eastAsia="仿宋_GB2312"/>
          <w:sz w:val="32"/>
          <w:szCs w:val="32"/>
        </w:rPr>
        <w:t>建设项目</w:t>
      </w:r>
      <w:bookmarkEnd w:id="26"/>
      <w:r>
        <w:rPr>
          <w:rFonts w:hint="eastAsia" w:ascii="Times New Roman" w:eastAsia="仿宋_GB2312"/>
          <w:sz w:val="32"/>
          <w:szCs w:val="32"/>
        </w:rPr>
        <w:t>”，</w:t>
      </w:r>
      <w:r>
        <w:rPr>
          <w:rFonts w:ascii="Times New Roman" w:eastAsia="仿宋_GB2312"/>
          <w:sz w:val="32"/>
          <w:szCs w:val="32"/>
        </w:rPr>
        <w:t>全面提高矿产资源勘查开发与保护水平</w:t>
      </w:r>
      <w:r>
        <w:rPr>
          <w:rFonts w:hint="eastAsia" w:ascii="Times New Roman" w:eastAsia="仿宋_GB2312"/>
          <w:sz w:val="32"/>
          <w:szCs w:val="32"/>
        </w:rPr>
        <w:t>。</w:t>
      </w:r>
      <w:r>
        <w:rPr>
          <w:rFonts w:ascii="Times New Roman" w:eastAsia="仿宋_GB2312"/>
          <w:sz w:val="32"/>
          <w:szCs w:val="32"/>
        </w:rPr>
        <w:t>着力引进大企业集团，促进</w:t>
      </w:r>
      <w:r>
        <w:rPr>
          <w:rFonts w:hint="eastAsia" w:ascii="Times New Roman" w:eastAsia="仿宋_GB2312"/>
          <w:sz w:val="32"/>
          <w:szCs w:val="32"/>
        </w:rPr>
        <w:t>伊宁县</w:t>
      </w:r>
      <w:r>
        <w:rPr>
          <w:rFonts w:ascii="Times New Roman" w:eastAsia="仿宋_GB2312"/>
          <w:sz w:val="32"/>
          <w:szCs w:val="32"/>
        </w:rPr>
        <w:t>煤炭、</w:t>
      </w:r>
      <w:r>
        <w:rPr>
          <w:rFonts w:hint="eastAsia" w:ascii="Times New Roman" w:eastAsia="仿宋_GB2312"/>
          <w:sz w:val="32"/>
          <w:szCs w:val="32"/>
        </w:rPr>
        <w:t>有色金属、非金属建材</w:t>
      </w:r>
      <w:r>
        <w:rPr>
          <w:rFonts w:ascii="Times New Roman" w:eastAsia="仿宋_GB2312"/>
          <w:sz w:val="32"/>
          <w:szCs w:val="32"/>
        </w:rPr>
        <w:t>等重要矿产的开发</w:t>
      </w:r>
      <w:r>
        <w:rPr>
          <w:rFonts w:hint="eastAsia" w:ascii="Times New Roman" w:eastAsia="仿宋_GB2312"/>
          <w:sz w:val="32"/>
          <w:szCs w:val="32"/>
        </w:rPr>
        <w:t>。以产业政策激发资源潜力，积极推动下游产业链的发展，在开发矿产资源的同时，积极争取财政资金、社会资金，使</w:t>
      </w:r>
      <w:r>
        <w:rPr>
          <w:rFonts w:ascii="Times New Roman" w:eastAsia="仿宋_GB2312"/>
          <w:sz w:val="32"/>
          <w:szCs w:val="32"/>
        </w:rPr>
        <w:t>矿山生态环境持续好转，形成资源、经济、环境、社会效益协调统一的新局面。</w:t>
      </w:r>
    </w:p>
    <w:p>
      <w:pPr>
        <w:widowControl/>
        <w:adjustRightInd/>
        <w:spacing w:line="560" w:lineRule="exact"/>
        <w:ind w:firstLine="659" w:firstLineChars="200"/>
        <w:rPr>
          <w:rFonts w:ascii="Times New Roman" w:eastAsia="仿宋_GB2312"/>
          <w:sz w:val="32"/>
          <w:szCs w:val="32"/>
        </w:rPr>
      </w:pPr>
      <w:r>
        <w:rPr>
          <w:rFonts w:ascii="Times New Roman" w:eastAsia="仿宋_GB2312"/>
          <w:b/>
          <w:sz w:val="32"/>
          <w:szCs w:val="32"/>
        </w:rPr>
        <w:t>矿业经济目标。</w:t>
      </w:r>
      <w:r>
        <w:rPr>
          <w:rFonts w:hint="eastAsia" w:ascii="Times New Roman" w:eastAsia="仿宋_GB2312"/>
          <w:sz w:val="32"/>
          <w:szCs w:val="32"/>
        </w:rPr>
        <w:t>采矿业及下游工业总产值</w:t>
      </w:r>
      <w:r>
        <w:rPr>
          <w:rFonts w:ascii="Times New Roman" w:eastAsia="仿宋_GB2312"/>
          <w:sz w:val="32"/>
          <w:szCs w:val="32"/>
        </w:rPr>
        <w:t>达到70亿元。</w:t>
      </w:r>
    </w:p>
    <w:p>
      <w:pPr>
        <w:widowControl/>
        <w:adjustRightInd/>
        <w:spacing w:line="560" w:lineRule="exact"/>
        <w:ind w:firstLine="659" w:firstLineChars="200"/>
        <w:rPr>
          <w:rFonts w:ascii="Times New Roman" w:eastAsia="仿宋_GB2312"/>
          <w:sz w:val="32"/>
          <w:szCs w:val="32"/>
        </w:rPr>
      </w:pPr>
      <w:r>
        <w:rPr>
          <w:rFonts w:ascii="Times New Roman" w:eastAsia="仿宋_GB2312"/>
          <w:b/>
          <w:sz w:val="32"/>
          <w:szCs w:val="32"/>
        </w:rPr>
        <w:t>基础地质调查评价规划目标。</w:t>
      </w:r>
      <w:r>
        <w:rPr>
          <w:rFonts w:ascii="Times New Roman"/>
          <w:sz w:val="32"/>
          <w:szCs w:val="32"/>
        </w:rPr>
        <w:t>开展1：5万土壤地球化学调查，促进特色土地资源开发与高标准农田建设，为提升土地资源管护水平提供技术支撑。</w:t>
      </w:r>
    </w:p>
    <w:tbl>
      <w:tblPr>
        <w:tblStyle w:val="34"/>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93"/>
        <w:gridCol w:w="4084"/>
        <w:gridCol w:w="1027"/>
        <w:gridCol w:w="2093"/>
        <w:gridCol w:w="10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 w:hRule="atLeast"/>
          <w:tblHeader/>
          <w:jc w:val="center"/>
        </w:trPr>
        <w:tc>
          <w:tcPr>
            <w:tcW w:w="5000" w:type="pct"/>
            <w:gridSpan w:val="5"/>
            <w:shd w:val="clear" w:color="auto" w:fill="auto"/>
            <w:tcMar>
              <w:left w:w="57" w:type="dxa"/>
              <w:right w:w="57" w:type="dxa"/>
            </w:tcMar>
            <w:vAlign w:val="center"/>
          </w:tcPr>
          <w:p>
            <w:pPr>
              <w:spacing w:before="38" w:beforeLines="10" w:after="38" w:afterLines="10" w:line="360" w:lineRule="exact"/>
              <w:jc w:val="left"/>
              <w:rPr>
                <w:rFonts w:ascii="Times New Roman" w:eastAsia="仿宋_GB2312"/>
                <w:sz w:val="21"/>
                <w:szCs w:val="21"/>
              </w:rPr>
            </w:pPr>
            <w:r>
              <w:rPr>
                <w:rFonts w:ascii="Times New Roman" w:eastAsia="仿宋_GB2312"/>
                <w:b/>
                <w:bCs/>
                <w:sz w:val="21"/>
                <w:szCs w:val="21"/>
              </w:rPr>
              <w:t xml:space="preserve">专栏6                                                     </w:t>
            </w:r>
            <w:r>
              <w:rPr>
                <w:rFonts w:hint="eastAsia" w:ascii="Times New Roman" w:eastAsia="仿宋_GB2312"/>
                <w:b/>
                <w:bCs/>
                <w:sz w:val="21"/>
                <w:szCs w:val="21"/>
              </w:rPr>
              <w:t>基础地质调查主要规划目标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 w:hRule="atLeast"/>
          <w:tblHeader/>
          <w:jc w:val="center"/>
        </w:trPr>
        <w:tc>
          <w:tcPr>
            <w:tcW w:w="388" w:type="pct"/>
            <w:shd w:val="clear" w:color="auto" w:fill="auto"/>
            <w:tcMar>
              <w:left w:w="57" w:type="dxa"/>
              <w:right w:w="57" w:type="dxa"/>
            </w:tcMar>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序号</w:t>
            </w:r>
          </w:p>
        </w:tc>
        <w:tc>
          <w:tcPr>
            <w:tcW w:w="2287" w:type="pct"/>
            <w:shd w:val="clear" w:color="auto" w:fill="auto"/>
            <w:tcMar>
              <w:left w:w="57" w:type="dxa"/>
              <w:right w:w="57" w:type="dxa"/>
            </w:tcMar>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指标名称</w:t>
            </w:r>
          </w:p>
        </w:tc>
        <w:tc>
          <w:tcPr>
            <w:tcW w:w="575" w:type="pct"/>
            <w:shd w:val="clear" w:color="auto" w:fill="auto"/>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单位</w:t>
            </w:r>
          </w:p>
        </w:tc>
        <w:tc>
          <w:tcPr>
            <w:tcW w:w="1172" w:type="pct"/>
            <w:shd w:val="clear" w:color="auto" w:fill="auto"/>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2021-2025规划目标</w:t>
            </w:r>
          </w:p>
        </w:tc>
        <w:tc>
          <w:tcPr>
            <w:tcW w:w="578" w:type="pct"/>
            <w:shd w:val="clear" w:color="auto" w:fill="auto"/>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1</w:t>
            </w:r>
          </w:p>
        </w:tc>
        <w:tc>
          <w:tcPr>
            <w:tcW w:w="2287"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1:5万土</w:t>
            </w:r>
            <w:r>
              <w:rPr>
                <w:rFonts w:hint="eastAsia" w:ascii="Times New Roman" w:eastAsia="仿宋_GB2312"/>
                <w:sz w:val="21"/>
                <w:szCs w:val="21"/>
              </w:rPr>
              <w:t>壤</w:t>
            </w:r>
            <w:r>
              <w:rPr>
                <w:rFonts w:ascii="Times New Roman" w:eastAsia="仿宋_GB2312"/>
                <w:sz w:val="21"/>
                <w:szCs w:val="21"/>
              </w:rPr>
              <w:t>地球化学调查</w:t>
            </w:r>
          </w:p>
        </w:tc>
        <w:tc>
          <w:tcPr>
            <w:tcW w:w="575"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ascii="Times New Roman" w:eastAsia="仿宋_GB2312"/>
                <w:sz w:val="21"/>
                <w:szCs w:val="21"/>
              </w:rPr>
              <w:t>平方千米</w:t>
            </w:r>
          </w:p>
        </w:tc>
        <w:tc>
          <w:tcPr>
            <w:tcW w:w="1172"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8</w:t>
            </w:r>
            <w:r>
              <w:rPr>
                <w:rFonts w:ascii="Times New Roman" w:eastAsia="仿宋_GB2312"/>
                <w:sz w:val="21"/>
                <w:szCs w:val="21"/>
              </w:rPr>
              <w:t>00</w:t>
            </w:r>
          </w:p>
        </w:tc>
        <w:tc>
          <w:tcPr>
            <w:tcW w:w="57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bl>
    <w:p>
      <w:pPr>
        <w:widowControl/>
        <w:adjustRightInd/>
        <w:spacing w:line="560" w:lineRule="exact"/>
        <w:ind w:firstLine="659" w:firstLineChars="200"/>
        <w:rPr>
          <w:rFonts w:ascii="Times New Roman" w:eastAsia="仿宋_GB2312"/>
          <w:sz w:val="32"/>
          <w:szCs w:val="32"/>
        </w:rPr>
      </w:pPr>
      <w:r>
        <w:rPr>
          <w:rFonts w:ascii="Times New Roman" w:eastAsia="仿宋_GB2312"/>
          <w:b/>
          <w:sz w:val="32"/>
          <w:szCs w:val="32"/>
        </w:rPr>
        <w:t>矿产勘查规划目标。</w:t>
      </w:r>
      <w:r>
        <w:rPr>
          <w:rFonts w:ascii="Times New Roman" w:eastAsia="仿宋_GB2312"/>
          <w:sz w:val="32"/>
          <w:szCs w:val="32"/>
        </w:rPr>
        <w:t>对重点成矿区带的矿产资源潜力开展调查评价，开展深部资源和重要矿山周边资源矿产地质勘查工作，形成一批重要矿产资源勘查开发后备基地，预计新发现矿产地1-2处。</w:t>
      </w:r>
      <w:r>
        <w:rPr>
          <w:rFonts w:hint="eastAsia" w:ascii="Times New Roman" w:eastAsia="仿宋_GB2312"/>
          <w:sz w:val="32"/>
          <w:szCs w:val="32"/>
        </w:rPr>
        <w:t>开展区内石英岩、玄武岩等矿产勘查</w:t>
      </w:r>
      <w:r>
        <w:rPr>
          <w:rFonts w:ascii="Times New Roman" w:eastAsia="仿宋_GB2312"/>
          <w:sz w:val="32"/>
          <w:szCs w:val="32"/>
        </w:rPr>
        <w:t>，</w:t>
      </w:r>
      <w:r>
        <w:rPr>
          <w:rFonts w:hint="eastAsia" w:ascii="Times New Roman" w:eastAsia="仿宋_GB2312"/>
          <w:sz w:val="32"/>
          <w:szCs w:val="32"/>
        </w:rPr>
        <w:t>增加矿产资源供应能力，</w:t>
      </w:r>
      <w:r>
        <w:rPr>
          <w:rFonts w:ascii="Times New Roman" w:eastAsia="仿宋_GB2312"/>
          <w:sz w:val="32"/>
          <w:szCs w:val="32"/>
        </w:rPr>
        <w:t>使得地区重要矿产的资源量稳定增长。</w:t>
      </w:r>
    </w:p>
    <w:tbl>
      <w:tblPr>
        <w:tblStyle w:val="34"/>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93"/>
        <w:gridCol w:w="3109"/>
        <w:gridCol w:w="2000"/>
        <w:gridCol w:w="2093"/>
        <w:gridCol w:w="1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 w:hRule="atLeast"/>
          <w:tblHeader/>
          <w:jc w:val="center"/>
        </w:trPr>
        <w:tc>
          <w:tcPr>
            <w:tcW w:w="5000" w:type="pct"/>
            <w:gridSpan w:val="5"/>
            <w:shd w:val="clear" w:color="auto" w:fill="auto"/>
            <w:tcMar>
              <w:left w:w="57" w:type="dxa"/>
              <w:right w:w="57" w:type="dxa"/>
            </w:tcMar>
            <w:vAlign w:val="center"/>
          </w:tcPr>
          <w:p>
            <w:pPr>
              <w:spacing w:before="38" w:beforeLines="10" w:after="38" w:afterLines="10" w:line="360" w:lineRule="exact"/>
              <w:jc w:val="left"/>
              <w:rPr>
                <w:rFonts w:ascii="Times New Roman" w:eastAsia="仿宋_GB2312"/>
                <w:sz w:val="21"/>
                <w:szCs w:val="21"/>
              </w:rPr>
            </w:pPr>
            <w:r>
              <w:rPr>
                <w:rFonts w:ascii="Times New Roman" w:eastAsia="仿宋_GB2312"/>
                <w:b/>
                <w:bCs/>
                <w:sz w:val="21"/>
                <w:szCs w:val="21"/>
              </w:rPr>
              <w:t>专栏7                                                     矿产资源勘查主要规划目标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 w:hRule="atLeast"/>
          <w:tblHeader/>
          <w:jc w:val="center"/>
        </w:trPr>
        <w:tc>
          <w:tcPr>
            <w:tcW w:w="388" w:type="pct"/>
            <w:shd w:val="clear" w:color="auto" w:fill="auto"/>
            <w:tcMar>
              <w:left w:w="57" w:type="dxa"/>
              <w:right w:w="57" w:type="dxa"/>
            </w:tcMar>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序号</w:t>
            </w:r>
          </w:p>
        </w:tc>
        <w:tc>
          <w:tcPr>
            <w:tcW w:w="1741" w:type="pct"/>
            <w:shd w:val="clear" w:color="auto" w:fill="auto"/>
            <w:tcMar>
              <w:left w:w="57" w:type="dxa"/>
              <w:right w:w="57" w:type="dxa"/>
            </w:tcMar>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指标名称</w:t>
            </w:r>
          </w:p>
        </w:tc>
        <w:tc>
          <w:tcPr>
            <w:tcW w:w="1120" w:type="pct"/>
            <w:shd w:val="clear" w:color="auto" w:fill="auto"/>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单位</w:t>
            </w:r>
          </w:p>
        </w:tc>
        <w:tc>
          <w:tcPr>
            <w:tcW w:w="1172" w:type="pct"/>
            <w:shd w:val="clear" w:color="auto" w:fill="auto"/>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2021-2025规划目标</w:t>
            </w:r>
          </w:p>
        </w:tc>
        <w:tc>
          <w:tcPr>
            <w:tcW w:w="579" w:type="pct"/>
            <w:shd w:val="clear" w:color="auto" w:fill="auto"/>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1</w:t>
            </w:r>
          </w:p>
        </w:tc>
        <w:tc>
          <w:tcPr>
            <w:tcW w:w="1741"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新发现矿产地</w:t>
            </w:r>
          </w:p>
        </w:tc>
        <w:tc>
          <w:tcPr>
            <w:tcW w:w="1120"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hint="eastAsia" w:ascii="Times New Roman" w:eastAsia="仿宋_GB2312"/>
                <w:sz w:val="21"/>
                <w:szCs w:val="21"/>
              </w:rPr>
              <w:t>处</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1</w:t>
            </w:r>
            <w:r>
              <w:rPr>
                <w:rFonts w:hint="eastAsia" w:ascii="Times New Roman" w:eastAsia="仿宋_GB2312"/>
                <w:sz w:val="21"/>
                <w:szCs w:val="21"/>
              </w:rPr>
              <w:t>-</w:t>
            </w:r>
            <w:r>
              <w:rPr>
                <w:rFonts w:ascii="Times New Roman" w:eastAsia="仿宋_GB2312"/>
                <w:sz w:val="21"/>
                <w:szCs w:val="21"/>
              </w:rPr>
              <w:t>2</w:t>
            </w:r>
          </w:p>
        </w:tc>
        <w:tc>
          <w:tcPr>
            <w:tcW w:w="579"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2</w:t>
            </w:r>
          </w:p>
        </w:tc>
        <w:tc>
          <w:tcPr>
            <w:tcW w:w="1741"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煤炭</w:t>
            </w:r>
          </w:p>
        </w:tc>
        <w:tc>
          <w:tcPr>
            <w:tcW w:w="1120"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ascii="Times New Roman" w:eastAsia="仿宋_GB2312"/>
                <w:sz w:val="21"/>
                <w:szCs w:val="21"/>
              </w:rPr>
              <w:t>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3000</w:t>
            </w:r>
          </w:p>
        </w:tc>
        <w:tc>
          <w:tcPr>
            <w:tcW w:w="579"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3</w:t>
            </w:r>
          </w:p>
        </w:tc>
        <w:tc>
          <w:tcPr>
            <w:tcW w:w="1741"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铜</w:t>
            </w:r>
          </w:p>
        </w:tc>
        <w:tc>
          <w:tcPr>
            <w:tcW w:w="1120"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hint="eastAsia" w:ascii="Times New Roman" w:eastAsia="仿宋_GB2312"/>
                <w:sz w:val="21"/>
                <w:szCs w:val="21"/>
              </w:rPr>
              <w:t>铜</w:t>
            </w:r>
            <w:r>
              <w:rPr>
                <w:rFonts w:ascii="Times New Roman" w:eastAsia="仿宋_GB2312"/>
                <w:sz w:val="21"/>
                <w:szCs w:val="21"/>
              </w:rPr>
              <w:t xml:space="preserve">   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30</w:t>
            </w:r>
          </w:p>
        </w:tc>
        <w:tc>
          <w:tcPr>
            <w:tcW w:w="579"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4</w:t>
            </w:r>
          </w:p>
        </w:tc>
        <w:tc>
          <w:tcPr>
            <w:tcW w:w="1741"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金</w:t>
            </w:r>
          </w:p>
        </w:tc>
        <w:tc>
          <w:tcPr>
            <w:tcW w:w="1120"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ascii="Times New Roman" w:eastAsia="仿宋_GB2312"/>
                <w:sz w:val="21"/>
                <w:szCs w:val="21"/>
              </w:rPr>
              <w:t>金  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10</w:t>
            </w:r>
          </w:p>
        </w:tc>
        <w:tc>
          <w:tcPr>
            <w:tcW w:w="579"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5</w:t>
            </w:r>
          </w:p>
        </w:tc>
        <w:tc>
          <w:tcPr>
            <w:tcW w:w="1741"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玄武岩</w:t>
            </w:r>
          </w:p>
        </w:tc>
        <w:tc>
          <w:tcPr>
            <w:tcW w:w="1120"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ascii="Times New Roman" w:eastAsia="仿宋_GB2312"/>
                <w:sz w:val="21"/>
                <w:szCs w:val="21"/>
              </w:rPr>
              <w:t>矿石   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30</w:t>
            </w:r>
          </w:p>
        </w:tc>
        <w:tc>
          <w:tcPr>
            <w:tcW w:w="579"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6</w:t>
            </w:r>
          </w:p>
        </w:tc>
        <w:tc>
          <w:tcPr>
            <w:tcW w:w="1741"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石英岩</w:t>
            </w:r>
          </w:p>
        </w:tc>
        <w:tc>
          <w:tcPr>
            <w:tcW w:w="1120"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ascii="Times New Roman" w:eastAsia="仿宋_GB2312"/>
                <w:sz w:val="21"/>
                <w:szCs w:val="21"/>
              </w:rPr>
              <w:t>矿石   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30</w:t>
            </w:r>
          </w:p>
        </w:tc>
        <w:tc>
          <w:tcPr>
            <w:tcW w:w="579"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7</w:t>
            </w:r>
          </w:p>
        </w:tc>
        <w:tc>
          <w:tcPr>
            <w:tcW w:w="1741"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石膏</w:t>
            </w:r>
          </w:p>
        </w:tc>
        <w:tc>
          <w:tcPr>
            <w:tcW w:w="1120"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ascii="Times New Roman" w:eastAsia="仿宋_GB2312"/>
                <w:sz w:val="21"/>
                <w:szCs w:val="21"/>
              </w:rPr>
              <w:t>矿石   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10</w:t>
            </w:r>
          </w:p>
        </w:tc>
        <w:tc>
          <w:tcPr>
            <w:tcW w:w="579"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8</w:t>
            </w:r>
          </w:p>
        </w:tc>
        <w:tc>
          <w:tcPr>
            <w:tcW w:w="1741"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石</w:t>
            </w:r>
            <w:r>
              <w:rPr>
                <w:rFonts w:ascii="Times New Roman" w:eastAsia="仿宋_GB2312"/>
                <w:sz w:val="21"/>
                <w:szCs w:val="21"/>
              </w:rPr>
              <w:t>灰岩</w:t>
            </w:r>
          </w:p>
        </w:tc>
        <w:tc>
          <w:tcPr>
            <w:tcW w:w="1120"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ascii="Times New Roman" w:eastAsia="仿宋_GB2312"/>
                <w:sz w:val="21"/>
                <w:szCs w:val="21"/>
              </w:rPr>
              <w:t>矿石   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50</w:t>
            </w:r>
          </w:p>
        </w:tc>
        <w:tc>
          <w:tcPr>
            <w:tcW w:w="579"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9</w:t>
            </w:r>
          </w:p>
        </w:tc>
        <w:tc>
          <w:tcPr>
            <w:tcW w:w="1741"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陶瓷土</w:t>
            </w:r>
          </w:p>
        </w:tc>
        <w:tc>
          <w:tcPr>
            <w:tcW w:w="1120"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ascii="Times New Roman" w:eastAsia="仿宋_GB2312"/>
                <w:sz w:val="21"/>
                <w:szCs w:val="21"/>
              </w:rPr>
              <w:t>矿石   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3</w:t>
            </w:r>
            <w:r>
              <w:rPr>
                <w:rFonts w:ascii="Times New Roman" w:eastAsia="仿宋_GB2312"/>
                <w:sz w:val="21"/>
                <w:szCs w:val="21"/>
              </w:rPr>
              <w:t>0</w:t>
            </w:r>
          </w:p>
        </w:tc>
        <w:tc>
          <w:tcPr>
            <w:tcW w:w="579"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预期性</w:t>
            </w:r>
          </w:p>
        </w:tc>
      </w:tr>
    </w:tbl>
    <w:p>
      <w:pPr>
        <w:widowControl/>
        <w:adjustRightInd/>
        <w:spacing w:line="560" w:lineRule="exact"/>
        <w:ind w:firstLine="659" w:firstLineChars="200"/>
        <w:rPr>
          <w:rFonts w:ascii="Times New Roman" w:eastAsia="仿宋_GB2312"/>
          <w:sz w:val="32"/>
          <w:szCs w:val="32"/>
        </w:rPr>
      </w:pPr>
      <w:r>
        <w:rPr>
          <w:rFonts w:ascii="Times New Roman" w:eastAsia="仿宋_GB2312"/>
          <w:b/>
          <w:sz w:val="32"/>
          <w:szCs w:val="32"/>
        </w:rPr>
        <w:t>矿产资源开发与保护规划目标。</w:t>
      </w:r>
      <w:r>
        <w:rPr>
          <w:rFonts w:hint="eastAsia" w:ascii="Times New Roman" w:eastAsia="仿宋_GB2312"/>
          <w:sz w:val="32"/>
          <w:szCs w:val="32"/>
        </w:rPr>
        <w:t>推进建设</w:t>
      </w:r>
      <w:r>
        <w:rPr>
          <w:rFonts w:ascii="Times New Roman" w:eastAsia="仿宋_GB2312"/>
          <w:sz w:val="32"/>
          <w:szCs w:val="32"/>
        </w:rPr>
        <w:t>重要的煤炭、金矿矿产基地，开发一批高附加值、高科技含量、市场占有率高的特色矿产品，并形成产业优势。加强优势矿产的资源整合力度，建立以大中型矿山企业为主体的矿业新格局</w:t>
      </w:r>
      <w:r>
        <w:rPr>
          <w:rFonts w:hint="eastAsia" w:ascii="Times New Roman" w:eastAsia="仿宋_GB2312"/>
          <w:sz w:val="32"/>
          <w:szCs w:val="32"/>
        </w:rPr>
        <w:t>。至2</w:t>
      </w:r>
      <w:r>
        <w:rPr>
          <w:rFonts w:ascii="Times New Roman" w:eastAsia="仿宋_GB2312"/>
          <w:sz w:val="32"/>
          <w:szCs w:val="32"/>
        </w:rPr>
        <w:t>025</w:t>
      </w:r>
      <w:r>
        <w:rPr>
          <w:rFonts w:hint="eastAsia" w:ascii="Times New Roman" w:eastAsia="仿宋_GB2312"/>
          <w:sz w:val="32"/>
          <w:szCs w:val="32"/>
        </w:rPr>
        <w:t>年煤炭产量提升到1</w:t>
      </w:r>
      <w:r>
        <w:rPr>
          <w:rFonts w:ascii="Times New Roman" w:eastAsia="仿宋_GB2312"/>
          <w:sz w:val="32"/>
          <w:szCs w:val="32"/>
        </w:rPr>
        <w:t>800</w:t>
      </w:r>
      <w:r>
        <w:rPr>
          <w:rFonts w:hint="eastAsia" w:ascii="Times New Roman" w:eastAsia="仿宋_GB2312"/>
          <w:sz w:val="32"/>
          <w:szCs w:val="32"/>
        </w:rPr>
        <w:t>万吨、金矿产量提升到</w:t>
      </w:r>
      <w:r>
        <w:rPr>
          <w:rFonts w:ascii="Times New Roman" w:eastAsia="仿宋_GB2312"/>
          <w:sz w:val="32"/>
          <w:szCs w:val="32"/>
        </w:rPr>
        <w:t>650</w:t>
      </w:r>
      <w:r>
        <w:rPr>
          <w:rFonts w:hint="eastAsia" w:ascii="Times New Roman" w:eastAsia="仿宋_GB2312"/>
          <w:sz w:val="32"/>
          <w:szCs w:val="32"/>
        </w:rPr>
        <w:t>万吨</w:t>
      </w:r>
      <w:r>
        <w:rPr>
          <w:rFonts w:ascii="Times New Roman" w:eastAsia="仿宋_GB2312"/>
          <w:sz w:val="32"/>
          <w:szCs w:val="32"/>
        </w:rPr>
        <w:t>。科学制定全地区砂石粘土矿产资源开采总量和采矿权数量调控指标，确保实现供需总量基本平衡。建筑用砂年产矿石量控制在600万</w:t>
      </w:r>
      <w:r>
        <w:rPr>
          <w:rFonts w:hint="eastAsia" w:ascii="Times New Roman" w:eastAsia="仿宋_GB2312"/>
          <w:sz w:val="32"/>
          <w:szCs w:val="32"/>
        </w:rPr>
        <w:t>立方米</w:t>
      </w:r>
      <w:r>
        <w:rPr>
          <w:rFonts w:ascii="Times New Roman" w:eastAsia="仿宋_GB2312"/>
          <w:sz w:val="32"/>
          <w:szCs w:val="32"/>
        </w:rPr>
        <w:t>，砖瓦用粘土年产矿石量控制在50</w:t>
      </w:r>
      <w:r>
        <w:rPr>
          <w:rFonts w:hint="eastAsia" w:ascii="Times New Roman" w:eastAsia="仿宋_GB2312"/>
          <w:sz w:val="32"/>
          <w:szCs w:val="32"/>
        </w:rPr>
        <w:t>万立方米</w:t>
      </w:r>
      <w:r>
        <w:rPr>
          <w:rFonts w:ascii="Times New Roman" w:eastAsia="仿宋_GB2312"/>
          <w:sz w:val="32"/>
          <w:szCs w:val="32"/>
        </w:rPr>
        <w:t>。</w:t>
      </w:r>
    </w:p>
    <w:tbl>
      <w:tblPr>
        <w:tblStyle w:val="34"/>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93"/>
        <w:gridCol w:w="2275"/>
        <w:gridCol w:w="2838"/>
        <w:gridCol w:w="2093"/>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 w:hRule="atLeast"/>
          <w:tblHeader/>
          <w:jc w:val="center"/>
        </w:trPr>
        <w:tc>
          <w:tcPr>
            <w:tcW w:w="5000" w:type="pct"/>
            <w:gridSpan w:val="5"/>
            <w:shd w:val="clear" w:color="auto" w:fill="auto"/>
            <w:tcMar>
              <w:left w:w="57" w:type="dxa"/>
              <w:right w:w="57" w:type="dxa"/>
            </w:tcMar>
            <w:vAlign w:val="center"/>
          </w:tcPr>
          <w:p>
            <w:pPr>
              <w:spacing w:before="38" w:beforeLines="10" w:after="38" w:afterLines="10" w:line="360" w:lineRule="exact"/>
              <w:jc w:val="left"/>
              <w:rPr>
                <w:rFonts w:ascii="Times New Roman" w:eastAsia="仿宋_GB2312"/>
                <w:sz w:val="21"/>
                <w:szCs w:val="21"/>
              </w:rPr>
            </w:pPr>
            <w:r>
              <w:rPr>
                <w:rFonts w:ascii="Times New Roman" w:eastAsia="仿宋_GB2312"/>
                <w:b/>
                <w:bCs/>
                <w:sz w:val="21"/>
                <w:szCs w:val="21"/>
              </w:rPr>
              <w:t xml:space="preserve">专栏8                                                    </w:t>
            </w:r>
            <w:r>
              <w:rPr>
                <w:rFonts w:ascii="Times New Roman" w:eastAsia="仿宋_GB2312"/>
                <w:b/>
                <w:bCs/>
                <w:color w:val="000000"/>
                <w:sz w:val="21"/>
              </w:rPr>
              <w:t>重点矿种年开采总量主要规划目标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 w:hRule="atLeast"/>
          <w:tblHeader/>
          <w:jc w:val="center"/>
        </w:trPr>
        <w:tc>
          <w:tcPr>
            <w:tcW w:w="388" w:type="pct"/>
            <w:shd w:val="clear" w:color="auto" w:fill="auto"/>
            <w:tcMar>
              <w:left w:w="57" w:type="dxa"/>
              <w:right w:w="57" w:type="dxa"/>
            </w:tcMar>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序号</w:t>
            </w:r>
          </w:p>
        </w:tc>
        <w:tc>
          <w:tcPr>
            <w:tcW w:w="1274" w:type="pct"/>
            <w:shd w:val="clear" w:color="auto" w:fill="auto"/>
            <w:tcMar>
              <w:left w:w="57" w:type="dxa"/>
              <w:right w:w="57" w:type="dxa"/>
            </w:tcMar>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指标名称</w:t>
            </w:r>
          </w:p>
        </w:tc>
        <w:tc>
          <w:tcPr>
            <w:tcW w:w="1589" w:type="pct"/>
            <w:shd w:val="clear" w:color="auto" w:fill="auto"/>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单位</w:t>
            </w:r>
          </w:p>
        </w:tc>
        <w:tc>
          <w:tcPr>
            <w:tcW w:w="1172" w:type="pct"/>
            <w:shd w:val="clear" w:color="auto" w:fill="auto"/>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2025</w:t>
            </w:r>
            <w:r>
              <w:rPr>
                <w:rFonts w:hint="eastAsia" w:ascii="Times New Roman" w:eastAsia="仿宋_GB2312"/>
                <w:sz w:val="21"/>
                <w:szCs w:val="21"/>
              </w:rPr>
              <w:t>年</w:t>
            </w:r>
            <w:r>
              <w:rPr>
                <w:rFonts w:ascii="Times New Roman" w:eastAsia="仿宋_GB2312"/>
                <w:sz w:val="21"/>
                <w:szCs w:val="21"/>
              </w:rPr>
              <w:t>规划目标</w:t>
            </w:r>
          </w:p>
        </w:tc>
        <w:tc>
          <w:tcPr>
            <w:tcW w:w="577" w:type="pct"/>
            <w:shd w:val="clear" w:color="auto" w:fill="auto"/>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1</w:t>
            </w:r>
          </w:p>
        </w:tc>
        <w:tc>
          <w:tcPr>
            <w:tcW w:w="1274"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煤炭</w:t>
            </w:r>
          </w:p>
        </w:tc>
        <w:tc>
          <w:tcPr>
            <w:tcW w:w="1589"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hint="eastAsia" w:ascii="Times New Roman" w:eastAsia="仿宋_GB2312"/>
                <w:sz w:val="21"/>
                <w:szCs w:val="21"/>
              </w:rPr>
              <w:t>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1</w:t>
            </w:r>
            <w:r>
              <w:rPr>
                <w:rFonts w:ascii="Times New Roman" w:eastAsia="仿宋_GB2312"/>
                <w:sz w:val="21"/>
                <w:szCs w:val="21"/>
              </w:rPr>
              <w:t>800</w:t>
            </w:r>
          </w:p>
        </w:tc>
        <w:tc>
          <w:tcPr>
            <w:tcW w:w="577"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2</w:t>
            </w:r>
          </w:p>
        </w:tc>
        <w:tc>
          <w:tcPr>
            <w:tcW w:w="1274"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金</w:t>
            </w:r>
          </w:p>
        </w:tc>
        <w:tc>
          <w:tcPr>
            <w:tcW w:w="1589"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hint="eastAsia" w:ascii="Times New Roman" w:eastAsia="仿宋_GB2312"/>
                <w:sz w:val="21"/>
                <w:szCs w:val="21"/>
              </w:rPr>
              <w:t>矿石 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650</w:t>
            </w:r>
          </w:p>
        </w:tc>
        <w:tc>
          <w:tcPr>
            <w:tcW w:w="577"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3</w:t>
            </w:r>
          </w:p>
        </w:tc>
        <w:tc>
          <w:tcPr>
            <w:tcW w:w="1274"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石</w:t>
            </w:r>
            <w:r>
              <w:rPr>
                <w:rFonts w:ascii="Times New Roman" w:eastAsia="仿宋_GB2312"/>
                <w:sz w:val="21"/>
                <w:szCs w:val="21"/>
              </w:rPr>
              <w:t>灰岩</w:t>
            </w:r>
          </w:p>
        </w:tc>
        <w:tc>
          <w:tcPr>
            <w:tcW w:w="1589"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hint="eastAsia" w:ascii="Times New Roman" w:eastAsia="仿宋_GB2312"/>
                <w:sz w:val="21"/>
                <w:szCs w:val="21"/>
              </w:rPr>
              <w:t>矿石 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30</w:t>
            </w:r>
          </w:p>
        </w:tc>
        <w:tc>
          <w:tcPr>
            <w:tcW w:w="577"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4</w:t>
            </w:r>
          </w:p>
        </w:tc>
        <w:tc>
          <w:tcPr>
            <w:tcW w:w="1274"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玄武岩</w:t>
            </w:r>
          </w:p>
        </w:tc>
        <w:tc>
          <w:tcPr>
            <w:tcW w:w="1589"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hint="eastAsia" w:ascii="Times New Roman" w:eastAsia="仿宋_GB2312"/>
                <w:sz w:val="21"/>
                <w:szCs w:val="21"/>
              </w:rPr>
              <w:t>矿石 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3</w:t>
            </w:r>
            <w:r>
              <w:rPr>
                <w:rFonts w:ascii="Times New Roman" w:eastAsia="仿宋_GB2312"/>
                <w:sz w:val="21"/>
                <w:szCs w:val="21"/>
              </w:rPr>
              <w:t>0</w:t>
            </w:r>
          </w:p>
        </w:tc>
        <w:tc>
          <w:tcPr>
            <w:tcW w:w="577"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5</w:t>
            </w:r>
          </w:p>
        </w:tc>
        <w:tc>
          <w:tcPr>
            <w:tcW w:w="1274"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石英岩</w:t>
            </w:r>
          </w:p>
        </w:tc>
        <w:tc>
          <w:tcPr>
            <w:tcW w:w="1589"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hint="eastAsia" w:ascii="Times New Roman" w:eastAsia="仿宋_GB2312"/>
                <w:sz w:val="21"/>
                <w:szCs w:val="21"/>
              </w:rPr>
              <w:t>矿石 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3</w:t>
            </w:r>
            <w:r>
              <w:rPr>
                <w:rFonts w:ascii="Times New Roman" w:eastAsia="仿宋_GB2312"/>
                <w:sz w:val="21"/>
                <w:szCs w:val="21"/>
              </w:rPr>
              <w:t>0</w:t>
            </w:r>
          </w:p>
        </w:tc>
        <w:tc>
          <w:tcPr>
            <w:tcW w:w="577"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6</w:t>
            </w:r>
          </w:p>
        </w:tc>
        <w:tc>
          <w:tcPr>
            <w:tcW w:w="1274"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陶瓷土</w:t>
            </w:r>
          </w:p>
        </w:tc>
        <w:tc>
          <w:tcPr>
            <w:tcW w:w="1589"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hint="eastAsia" w:ascii="Times New Roman" w:eastAsia="仿宋_GB2312"/>
                <w:sz w:val="21"/>
                <w:szCs w:val="21"/>
              </w:rPr>
              <w:t>矿石 万吨</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1</w:t>
            </w:r>
            <w:r>
              <w:rPr>
                <w:rFonts w:ascii="Times New Roman" w:eastAsia="仿宋_GB2312"/>
                <w:sz w:val="21"/>
                <w:szCs w:val="21"/>
              </w:rPr>
              <w:t>0</w:t>
            </w:r>
          </w:p>
        </w:tc>
        <w:tc>
          <w:tcPr>
            <w:tcW w:w="577"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7</w:t>
            </w:r>
          </w:p>
        </w:tc>
        <w:tc>
          <w:tcPr>
            <w:tcW w:w="1274"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砖瓦用粘土</w:t>
            </w:r>
          </w:p>
        </w:tc>
        <w:tc>
          <w:tcPr>
            <w:tcW w:w="1589"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hint="eastAsia" w:ascii="Times New Roman" w:eastAsia="仿宋_GB2312"/>
                <w:sz w:val="21"/>
                <w:szCs w:val="21"/>
              </w:rPr>
              <w:t>万立方米</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50</w:t>
            </w:r>
          </w:p>
        </w:tc>
        <w:tc>
          <w:tcPr>
            <w:tcW w:w="577"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8</w:t>
            </w:r>
          </w:p>
        </w:tc>
        <w:tc>
          <w:tcPr>
            <w:tcW w:w="1274"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建筑用砂</w:t>
            </w:r>
          </w:p>
        </w:tc>
        <w:tc>
          <w:tcPr>
            <w:tcW w:w="1589"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ascii="Times New Roman" w:eastAsia="仿宋_GB2312"/>
                <w:sz w:val="21"/>
                <w:szCs w:val="21"/>
              </w:rPr>
              <w:t>万</w:t>
            </w:r>
            <w:r>
              <w:rPr>
                <w:rFonts w:hint="eastAsia" w:ascii="Times New Roman" w:eastAsia="仿宋_GB2312"/>
                <w:sz w:val="21"/>
                <w:szCs w:val="21"/>
              </w:rPr>
              <w:t>立方米</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600</w:t>
            </w:r>
          </w:p>
        </w:tc>
        <w:tc>
          <w:tcPr>
            <w:tcW w:w="577" w:type="pct"/>
            <w:shd w:val="clear" w:color="auto" w:fill="auto"/>
            <w:tcMar>
              <w:left w:w="57" w:type="dxa"/>
              <w:right w:w="57" w:type="dxa"/>
            </w:tcMa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预期性</w:t>
            </w:r>
          </w:p>
        </w:tc>
      </w:tr>
    </w:tbl>
    <w:p>
      <w:pPr>
        <w:widowControl/>
        <w:adjustRightInd/>
        <w:spacing w:line="560" w:lineRule="exact"/>
        <w:ind w:firstLine="659" w:firstLineChars="200"/>
        <w:rPr>
          <w:rFonts w:ascii="Times New Roman" w:eastAsia="仿宋_GB2312"/>
          <w:sz w:val="32"/>
          <w:szCs w:val="32"/>
        </w:rPr>
      </w:pPr>
      <w:r>
        <w:rPr>
          <w:rFonts w:ascii="Times New Roman" w:eastAsia="仿宋_GB2312"/>
          <w:b/>
          <w:sz w:val="32"/>
          <w:szCs w:val="32"/>
        </w:rPr>
        <w:t>矿业高质量发展规划目标。</w:t>
      </w:r>
      <w:r>
        <w:rPr>
          <w:rFonts w:ascii="Times New Roman" w:eastAsia="仿宋_GB2312"/>
          <w:sz w:val="32"/>
          <w:szCs w:val="32"/>
        </w:rPr>
        <w:t>进一步减少小型矿山数量，</w:t>
      </w:r>
      <w:r>
        <w:rPr>
          <w:rFonts w:hint="eastAsia" w:ascii="Times New Roman" w:eastAsia="仿宋_GB2312"/>
          <w:sz w:val="32"/>
          <w:szCs w:val="32"/>
        </w:rPr>
        <w:t>做到“关小上大”，</w:t>
      </w:r>
      <w:r>
        <w:rPr>
          <w:rFonts w:ascii="Times New Roman" w:eastAsia="仿宋_GB2312"/>
          <w:sz w:val="32"/>
          <w:szCs w:val="32"/>
        </w:rPr>
        <w:t>降低小型矿山比例，</w:t>
      </w:r>
      <w:r>
        <w:rPr>
          <w:rFonts w:hint="eastAsia" w:ascii="Times New Roman" w:eastAsia="仿宋_GB2312"/>
          <w:sz w:val="32"/>
          <w:szCs w:val="32"/>
        </w:rPr>
        <w:t>至2</w:t>
      </w:r>
      <w:r>
        <w:rPr>
          <w:rFonts w:ascii="Times New Roman" w:eastAsia="仿宋_GB2312"/>
          <w:sz w:val="32"/>
          <w:szCs w:val="32"/>
        </w:rPr>
        <w:t>025</w:t>
      </w:r>
      <w:r>
        <w:rPr>
          <w:rFonts w:hint="eastAsia" w:ascii="Times New Roman" w:eastAsia="仿宋_GB2312"/>
          <w:sz w:val="32"/>
          <w:szCs w:val="32"/>
        </w:rPr>
        <w:t>年，</w:t>
      </w:r>
      <w:r>
        <w:rPr>
          <w:rFonts w:ascii="Times New Roman" w:eastAsia="仿宋_GB2312"/>
          <w:sz w:val="32"/>
          <w:szCs w:val="32"/>
        </w:rPr>
        <w:t>矿山总数控制在45家以内，大中型矿山比例超过45%，矿山规模结构进一步合理；矿业开发布局进一步合理，矿山最小开采规模和新建矿山准入条件得到充分落实，主要矿种矿山均达到国家规定的“三率”标准；矿山节约与综合利用水平明显提升，矿产品产量能够满足国民经济和社会发展需要。进一步加快绿色矿山建设，推动大型矿山的智能矿山建设。</w:t>
      </w:r>
    </w:p>
    <w:tbl>
      <w:tblPr>
        <w:tblStyle w:val="34"/>
        <w:tblW w:w="498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93"/>
        <w:gridCol w:w="2177"/>
        <w:gridCol w:w="2936"/>
        <w:gridCol w:w="2093"/>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 w:hRule="atLeast"/>
          <w:tblHeader/>
          <w:jc w:val="center"/>
        </w:trPr>
        <w:tc>
          <w:tcPr>
            <w:tcW w:w="5000" w:type="pct"/>
            <w:gridSpan w:val="5"/>
            <w:shd w:val="clear" w:color="auto" w:fill="auto"/>
            <w:tcMar>
              <w:left w:w="57" w:type="dxa"/>
              <w:right w:w="57" w:type="dxa"/>
            </w:tcMar>
            <w:vAlign w:val="center"/>
          </w:tcPr>
          <w:p>
            <w:pPr>
              <w:spacing w:before="38" w:beforeLines="10" w:after="38" w:afterLines="10" w:line="360" w:lineRule="exact"/>
              <w:jc w:val="left"/>
              <w:rPr>
                <w:rFonts w:ascii="Times New Roman" w:eastAsia="仿宋_GB2312"/>
                <w:sz w:val="21"/>
                <w:szCs w:val="21"/>
              </w:rPr>
            </w:pPr>
            <w:r>
              <w:rPr>
                <w:rFonts w:ascii="Times New Roman" w:eastAsia="仿宋_GB2312"/>
                <w:b/>
                <w:bCs/>
                <w:sz w:val="21"/>
                <w:szCs w:val="21"/>
              </w:rPr>
              <w:t xml:space="preserve">专栏9                              </w:t>
            </w:r>
            <w:r>
              <w:rPr>
                <w:rFonts w:ascii="Times New Roman" w:eastAsia="仿宋_GB2312"/>
                <w:sz w:val="21"/>
                <w:szCs w:val="21"/>
              </w:rPr>
              <w:t xml:space="preserve"> </w:t>
            </w:r>
            <w:r>
              <w:rPr>
                <w:rFonts w:ascii="Times New Roman" w:eastAsia="仿宋_GB2312"/>
                <w:b/>
                <w:sz w:val="21"/>
                <w:szCs w:val="21"/>
              </w:rPr>
              <w:t>矿山规模结构及开发利用效率主要规划目标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22" w:hRule="atLeast"/>
          <w:tblHeader/>
          <w:jc w:val="center"/>
        </w:trPr>
        <w:tc>
          <w:tcPr>
            <w:tcW w:w="388" w:type="pct"/>
            <w:shd w:val="clear" w:color="auto" w:fill="auto"/>
            <w:tcMar>
              <w:left w:w="57" w:type="dxa"/>
              <w:right w:w="57" w:type="dxa"/>
            </w:tcMar>
            <w:vAlign w:val="center"/>
          </w:tcPr>
          <w:p>
            <w:pPr>
              <w:spacing w:before="38" w:beforeLines="10" w:after="38" w:afterLines="10" w:line="420" w:lineRule="exact"/>
              <w:jc w:val="center"/>
              <w:rPr>
                <w:rFonts w:ascii="Times New Roman" w:eastAsia="仿宋_GB2312"/>
                <w:sz w:val="21"/>
                <w:szCs w:val="21"/>
              </w:rPr>
            </w:pPr>
            <w:r>
              <w:rPr>
                <w:rFonts w:ascii="Times New Roman" w:eastAsia="仿宋_GB2312"/>
                <w:sz w:val="21"/>
                <w:szCs w:val="21"/>
              </w:rPr>
              <w:t>序号</w:t>
            </w:r>
          </w:p>
        </w:tc>
        <w:tc>
          <w:tcPr>
            <w:tcW w:w="1219" w:type="pct"/>
            <w:shd w:val="clear" w:color="auto" w:fill="auto"/>
            <w:tcMar>
              <w:left w:w="57" w:type="dxa"/>
              <w:right w:w="57" w:type="dxa"/>
            </w:tcMar>
            <w:vAlign w:val="center"/>
          </w:tcPr>
          <w:p>
            <w:pPr>
              <w:spacing w:before="38" w:beforeLines="10" w:after="38" w:afterLines="10" w:line="420" w:lineRule="exact"/>
              <w:jc w:val="center"/>
              <w:rPr>
                <w:rFonts w:ascii="Times New Roman" w:eastAsia="仿宋_GB2312"/>
                <w:sz w:val="21"/>
                <w:szCs w:val="21"/>
              </w:rPr>
            </w:pPr>
            <w:r>
              <w:rPr>
                <w:rFonts w:ascii="Times New Roman" w:eastAsia="仿宋_GB2312"/>
                <w:sz w:val="21"/>
                <w:szCs w:val="21"/>
              </w:rPr>
              <w:t>指标名称</w:t>
            </w:r>
          </w:p>
        </w:tc>
        <w:tc>
          <w:tcPr>
            <w:tcW w:w="1644" w:type="pct"/>
            <w:shd w:val="clear" w:color="auto" w:fill="auto"/>
            <w:vAlign w:val="center"/>
          </w:tcPr>
          <w:p>
            <w:pPr>
              <w:spacing w:before="38" w:beforeLines="10" w:after="38" w:afterLines="10" w:line="420" w:lineRule="exact"/>
              <w:jc w:val="center"/>
              <w:rPr>
                <w:rFonts w:ascii="Times New Roman" w:eastAsia="仿宋_GB2312"/>
                <w:sz w:val="21"/>
                <w:szCs w:val="21"/>
              </w:rPr>
            </w:pPr>
            <w:r>
              <w:rPr>
                <w:rFonts w:ascii="Times New Roman" w:eastAsia="仿宋_GB2312"/>
                <w:sz w:val="21"/>
                <w:szCs w:val="21"/>
              </w:rPr>
              <w:t>单位</w:t>
            </w:r>
          </w:p>
        </w:tc>
        <w:tc>
          <w:tcPr>
            <w:tcW w:w="1172" w:type="pct"/>
            <w:shd w:val="clear" w:color="auto" w:fill="auto"/>
            <w:vAlign w:val="center"/>
          </w:tcPr>
          <w:p>
            <w:pPr>
              <w:spacing w:before="38" w:beforeLines="10" w:after="38" w:afterLines="10" w:line="420" w:lineRule="exact"/>
              <w:jc w:val="center"/>
              <w:rPr>
                <w:rFonts w:ascii="Times New Roman" w:eastAsia="仿宋_GB2312"/>
                <w:sz w:val="21"/>
                <w:szCs w:val="21"/>
              </w:rPr>
            </w:pPr>
            <w:r>
              <w:rPr>
                <w:rFonts w:ascii="Times New Roman" w:eastAsia="仿宋_GB2312"/>
                <w:sz w:val="21"/>
                <w:szCs w:val="21"/>
              </w:rPr>
              <w:t>2025</w:t>
            </w:r>
            <w:r>
              <w:rPr>
                <w:rFonts w:hint="eastAsia" w:ascii="Times New Roman" w:eastAsia="仿宋_GB2312"/>
                <w:sz w:val="21"/>
                <w:szCs w:val="21"/>
              </w:rPr>
              <w:t>年</w:t>
            </w:r>
            <w:r>
              <w:rPr>
                <w:rFonts w:ascii="Times New Roman" w:eastAsia="仿宋_GB2312"/>
                <w:sz w:val="21"/>
                <w:szCs w:val="21"/>
              </w:rPr>
              <w:t>规划目标</w:t>
            </w:r>
          </w:p>
        </w:tc>
        <w:tc>
          <w:tcPr>
            <w:tcW w:w="577" w:type="pct"/>
            <w:shd w:val="clear" w:color="auto" w:fill="auto"/>
            <w:vAlign w:val="center"/>
          </w:tcPr>
          <w:p>
            <w:pPr>
              <w:spacing w:before="38" w:beforeLines="10" w:after="38" w:afterLines="10" w:line="360" w:lineRule="exact"/>
              <w:jc w:val="center"/>
              <w:rPr>
                <w:rFonts w:ascii="Times New Roman" w:eastAsia="仿宋_GB2312"/>
                <w:sz w:val="21"/>
                <w:szCs w:val="21"/>
              </w:rPr>
            </w:pPr>
            <w:r>
              <w:rPr>
                <w:rFonts w:ascii="Times New Roman" w:eastAsia="仿宋_GB2312"/>
                <w:sz w:val="21"/>
                <w:szCs w:val="21"/>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1</w:t>
            </w:r>
          </w:p>
        </w:tc>
        <w:tc>
          <w:tcPr>
            <w:tcW w:w="1219"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大中型矿山比例</w:t>
            </w:r>
          </w:p>
        </w:tc>
        <w:tc>
          <w:tcPr>
            <w:tcW w:w="1644"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ascii="Times New Roman" w:eastAsia="仿宋_GB2312"/>
                <w:sz w:val="21"/>
                <w:szCs w:val="21"/>
              </w:rPr>
              <w:t>%</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≥45</w:t>
            </w:r>
          </w:p>
        </w:tc>
        <w:tc>
          <w:tcPr>
            <w:tcW w:w="577" w:type="pct"/>
            <w:shd w:val="clear" w:color="auto" w:fill="auto"/>
            <w:tcMar>
              <w:left w:w="57" w:type="dxa"/>
              <w:right w:w="57" w:type="dxa"/>
            </w:tcMar>
            <w:vAlign w:val="center"/>
          </w:tcPr>
          <w:p>
            <w:pPr>
              <w:spacing w:before="38" w:beforeLines="10" w:line="240" w:lineRule="auto"/>
              <w:jc w:val="center"/>
              <w:rPr>
                <w:rFonts w:ascii="Times New Roman" w:eastAsia="仿宋_GB2312"/>
                <w:sz w:val="21"/>
                <w:szCs w:val="21"/>
              </w:rPr>
            </w:pPr>
            <w:r>
              <w:rPr>
                <w:rFonts w:ascii="Times New Roman" w:eastAsia="仿宋_GB2312"/>
                <w:sz w:val="21"/>
                <w:szCs w:val="21"/>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388"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hint="eastAsia" w:ascii="Times New Roman" w:eastAsia="仿宋_GB2312"/>
                <w:sz w:val="21"/>
                <w:szCs w:val="21"/>
              </w:rPr>
              <w:t>2</w:t>
            </w:r>
          </w:p>
        </w:tc>
        <w:tc>
          <w:tcPr>
            <w:tcW w:w="1219" w:type="pct"/>
            <w:shd w:val="clear" w:color="auto" w:fill="auto"/>
            <w:tcMar>
              <w:left w:w="57" w:type="dxa"/>
              <w:right w:w="57" w:type="dxa"/>
            </w:tcMar>
            <w:vAlign w:val="center"/>
          </w:tcPr>
          <w:p>
            <w:pPr>
              <w:spacing w:before="38" w:beforeLines="10" w:line="300" w:lineRule="exact"/>
              <w:jc w:val="center"/>
              <w:rPr>
                <w:rFonts w:ascii="Times New Roman" w:eastAsia="仿宋_GB2312"/>
                <w:sz w:val="21"/>
                <w:szCs w:val="21"/>
              </w:rPr>
            </w:pPr>
            <w:r>
              <w:rPr>
                <w:rFonts w:ascii="Times New Roman" w:eastAsia="仿宋_GB2312"/>
                <w:sz w:val="21"/>
                <w:szCs w:val="21"/>
              </w:rPr>
              <w:t>主要有色金属共伴生矿产综合利用率提高比例</w:t>
            </w:r>
          </w:p>
        </w:tc>
        <w:tc>
          <w:tcPr>
            <w:tcW w:w="1644" w:type="pct"/>
            <w:shd w:val="clear" w:color="auto" w:fill="auto"/>
            <w:tcMar>
              <w:left w:w="57" w:type="dxa"/>
              <w:right w:w="57" w:type="dxa"/>
            </w:tcMar>
            <w:vAlign w:val="center"/>
          </w:tcPr>
          <w:p>
            <w:pPr>
              <w:spacing w:line="420" w:lineRule="exact"/>
              <w:jc w:val="center"/>
              <w:rPr>
                <w:rFonts w:ascii="Times New Roman" w:eastAsia="仿宋_GB2312"/>
                <w:sz w:val="21"/>
                <w:szCs w:val="21"/>
              </w:rPr>
            </w:pPr>
            <w:r>
              <w:rPr>
                <w:rFonts w:ascii="Times New Roman" w:eastAsia="仿宋_GB2312"/>
                <w:sz w:val="21"/>
                <w:szCs w:val="21"/>
              </w:rPr>
              <w:t>%</w:t>
            </w:r>
          </w:p>
        </w:tc>
        <w:tc>
          <w:tcPr>
            <w:tcW w:w="1172" w:type="pct"/>
            <w:shd w:val="clear" w:color="auto" w:fill="auto"/>
            <w:tcMar>
              <w:left w:w="57" w:type="dxa"/>
              <w:right w:w="57" w:type="dxa"/>
            </w:tcMar>
            <w:vAlign w:val="center"/>
          </w:tcPr>
          <w:p>
            <w:pPr>
              <w:spacing w:before="38" w:beforeLines="10" w:line="420" w:lineRule="exact"/>
              <w:jc w:val="center"/>
              <w:rPr>
                <w:rFonts w:ascii="Times New Roman" w:eastAsia="仿宋_GB2312"/>
                <w:sz w:val="21"/>
                <w:szCs w:val="21"/>
              </w:rPr>
            </w:pPr>
            <w:r>
              <w:rPr>
                <w:rFonts w:ascii="Times New Roman" w:eastAsia="仿宋_GB2312"/>
                <w:sz w:val="21"/>
                <w:szCs w:val="21"/>
              </w:rPr>
              <w:t>2-3</w:t>
            </w:r>
          </w:p>
        </w:tc>
        <w:tc>
          <w:tcPr>
            <w:tcW w:w="577" w:type="pct"/>
            <w:shd w:val="clear" w:color="auto" w:fill="auto"/>
            <w:tcMar>
              <w:left w:w="57" w:type="dxa"/>
              <w:right w:w="57" w:type="dxa"/>
            </w:tcMar>
            <w:vAlign w:val="center"/>
          </w:tcPr>
          <w:p>
            <w:pPr>
              <w:spacing w:before="38" w:beforeLines="10" w:line="240" w:lineRule="auto"/>
              <w:jc w:val="center"/>
              <w:rPr>
                <w:rFonts w:ascii="Times New Roman" w:eastAsia="仿宋_GB2312"/>
                <w:sz w:val="21"/>
                <w:szCs w:val="21"/>
              </w:rPr>
            </w:pPr>
            <w:r>
              <w:rPr>
                <w:rFonts w:ascii="Times New Roman" w:eastAsia="仿宋_GB2312"/>
                <w:sz w:val="21"/>
                <w:szCs w:val="21"/>
              </w:rPr>
              <w:t>预期性</w:t>
            </w:r>
          </w:p>
        </w:tc>
      </w:tr>
    </w:tbl>
    <w:p>
      <w:pPr>
        <w:widowControl/>
        <w:adjustRightInd/>
        <w:spacing w:line="560" w:lineRule="exact"/>
        <w:ind w:firstLine="659" w:firstLineChars="200"/>
        <w:rPr>
          <w:rFonts w:ascii="Times New Roman" w:eastAsia="仿宋_GB2312"/>
          <w:sz w:val="32"/>
          <w:szCs w:val="32"/>
        </w:rPr>
      </w:pPr>
      <w:r>
        <w:rPr>
          <w:rFonts w:ascii="Times New Roman" w:eastAsia="仿宋_GB2312"/>
          <w:b/>
          <w:sz w:val="32"/>
          <w:szCs w:val="32"/>
        </w:rPr>
        <w:t>矿区生态保护修复规划目标。</w:t>
      </w:r>
      <w:r>
        <w:rPr>
          <w:rFonts w:ascii="Times New Roman" w:eastAsia="仿宋_GB2312"/>
          <w:sz w:val="32"/>
          <w:szCs w:val="32"/>
        </w:rPr>
        <w:t>加强矿产资源开发利用全过程地质环境保护的监督管理，积极构建矿山环境保护与治理恢复长效机制，积极落实国家和自治区发布的矿山环境治理恢复基金的管理办法</w:t>
      </w:r>
      <w:r>
        <w:rPr>
          <w:rFonts w:hint="eastAsia" w:ascii="Times New Roman" w:eastAsia="仿宋_GB2312"/>
          <w:sz w:val="32"/>
          <w:szCs w:val="32"/>
        </w:rPr>
        <w:t>，积极探索市场化推进矿山生态修复。矿山企业依法履行矿山地质环境保护与土地复垦义务的监督管理进一步加强。</w:t>
      </w:r>
    </w:p>
    <w:p>
      <w:pPr>
        <w:widowControl/>
        <w:adjustRightInd/>
        <w:spacing w:line="560" w:lineRule="exact"/>
        <w:ind w:firstLine="659" w:firstLineChars="200"/>
        <w:rPr>
          <w:rFonts w:ascii="Times New Roman" w:eastAsia="仿宋_GB2312"/>
          <w:sz w:val="32"/>
          <w:szCs w:val="32"/>
        </w:rPr>
      </w:pPr>
      <w:r>
        <w:rPr>
          <w:rFonts w:hint="eastAsia" w:ascii="Times New Roman" w:eastAsia="仿宋_GB2312"/>
          <w:b/>
          <w:sz w:val="32"/>
          <w:szCs w:val="32"/>
        </w:rPr>
        <w:t>矿产资源管理改革取得新进展。</w:t>
      </w:r>
      <w:r>
        <w:rPr>
          <w:rFonts w:hint="eastAsia" w:ascii="Times New Roman" w:eastAsia="仿宋_GB2312"/>
          <w:sz w:val="32"/>
          <w:szCs w:val="32"/>
        </w:rPr>
        <w:t>矿业权出让管理更加完善，资源配置更加精准。矿产资源资产权和统一确权登记制度全面落实，资源家底更加清晰。“放管服”改革进一步深入，服务水平进一步提升。矿产资源勘查开发动态监测体系全面建立，常态化开展矿产资源国情调查，矿产资源储量动态更新机制进一步完善。助力自治区、州、县（市）矿山三级数据联通，矿产资源信息化管理水平进一步提高。构建勘查开发执法监管责任机制，营造勘查开发良好环境。</w:t>
      </w:r>
    </w:p>
    <w:p>
      <w:pPr>
        <w:widowControl/>
        <w:adjustRightInd/>
        <w:spacing w:line="560" w:lineRule="exact"/>
        <w:ind w:firstLine="659" w:firstLineChars="200"/>
        <w:rPr>
          <w:rFonts w:ascii="Times New Roman" w:eastAsia="仿宋_GB2312"/>
          <w:sz w:val="32"/>
          <w:szCs w:val="32"/>
        </w:rPr>
      </w:pPr>
      <w:r>
        <w:rPr>
          <w:rFonts w:hint="eastAsia" w:ascii="Times New Roman" w:eastAsia="仿宋_GB2312"/>
          <w:b/>
          <w:sz w:val="32"/>
          <w:szCs w:val="32"/>
        </w:rPr>
        <w:t>矿业创新发展能力显著提升。</w:t>
      </w:r>
      <w:r>
        <w:rPr>
          <w:rFonts w:hint="eastAsia" w:ascii="Times New Roman" w:eastAsia="仿宋_GB2312"/>
          <w:sz w:val="32"/>
          <w:szCs w:val="32"/>
        </w:rPr>
        <w:t>积极打造创新发展新高地，全面提升地质勘查理论与技术创新，鼓励现有普通砖窑向节能隧道窑工艺转型，鼓励新型节能建筑材料生产技术工艺的开发引进，鼓励机制砂行业发展，鼓励企业采用高新技术对低品位、难选冶资源和尾矿、尾渣等资源进行再利用和深加工。</w:t>
      </w:r>
    </w:p>
    <w:p>
      <w:pPr>
        <w:widowControl/>
        <w:adjustRightInd/>
        <w:spacing w:line="560" w:lineRule="exact"/>
        <w:ind w:firstLine="659" w:firstLineChars="200"/>
        <w:rPr>
          <w:rFonts w:ascii="Times New Roman" w:eastAsia="仿宋_GB2312"/>
          <w:sz w:val="32"/>
          <w:szCs w:val="32"/>
        </w:rPr>
      </w:pPr>
      <w:r>
        <w:rPr>
          <w:rFonts w:ascii="Times New Roman"/>
          <w:b/>
          <w:bCs/>
          <w:sz w:val="32"/>
          <w:szCs w:val="32"/>
        </w:rPr>
        <w:t>远期展望。</w:t>
      </w:r>
      <w:r>
        <w:rPr>
          <w:rFonts w:hint="eastAsia" w:ascii="Times New Roman" w:eastAsia="仿宋_GB2312"/>
          <w:sz w:val="32"/>
          <w:szCs w:val="32"/>
        </w:rPr>
        <w:t>到2035年，地质工作服务支撑经济社会发展彰显有力，矿产资源结构布局稳定成型，矿业开发集聚效应、规模效应进一步显现，矿业高质量发展与经济社会发展协调一致。进一步加强能源、有色金属、非金属建材以及国家紧缺性矿产及优势矿产资源勘查，并取得重大突破。矿山企业转型升级成效显著，矿山规模产能集中度明显提高，矿产资源产业链得到延伸。绿色矿山以及大中型智慧矿山建设体系全面提升，建立完善的地质环境恢复治理监管机制。矿产资源管理和矿业权市场监管制度更趋完善。</w:t>
      </w:r>
    </w:p>
    <w:p>
      <w:pPr>
        <w:pStyle w:val="2"/>
        <w:spacing w:before="0" w:beforeLines="0" w:after="0" w:afterLines="0" w:line="560" w:lineRule="exact"/>
        <w:ind w:firstLine="720" w:firstLineChars="200"/>
        <w:jc w:val="both"/>
        <w:rPr>
          <w:rFonts w:ascii="Times New Roman" w:eastAsia="黑体"/>
          <w:b w:val="0"/>
          <w:bCs/>
          <w:sz w:val="36"/>
          <w:szCs w:val="36"/>
        </w:rPr>
      </w:pPr>
      <w:bookmarkStart w:id="27" w:name="_Toc130413607"/>
      <w:r>
        <w:rPr>
          <w:rFonts w:hint="eastAsia" w:ascii="Times New Roman" w:eastAsia="黑体"/>
          <w:b w:val="0"/>
          <w:bCs/>
          <w:sz w:val="36"/>
          <w:szCs w:val="36"/>
        </w:rPr>
        <w:t>三</w:t>
      </w:r>
      <w:r>
        <w:rPr>
          <w:rFonts w:ascii="Times New Roman" w:eastAsia="黑体"/>
          <w:b w:val="0"/>
          <w:bCs/>
          <w:sz w:val="36"/>
          <w:szCs w:val="36"/>
        </w:rPr>
        <w:t>、矿产勘查开发与保护布局</w:t>
      </w:r>
      <w:bookmarkEnd w:id="27"/>
    </w:p>
    <w:p>
      <w:pPr>
        <w:pStyle w:val="3"/>
        <w:spacing w:before="0" w:beforeLines="0" w:after="0" w:afterLines="0" w:line="560" w:lineRule="exact"/>
        <w:ind w:firstLine="659" w:firstLineChars="200"/>
        <w:jc w:val="both"/>
        <w:rPr>
          <w:rFonts w:ascii="Times New Roman" w:hAnsi="Times New Roman" w:eastAsia="楷体"/>
          <w:sz w:val="32"/>
          <w:szCs w:val="32"/>
        </w:rPr>
      </w:pPr>
      <w:bookmarkStart w:id="28" w:name="_Toc130413608"/>
      <w:r>
        <w:rPr>
          <w:rFonts w:ascii="Times New Roman" w:hAnsi="Times New Roman" w:eastAsia="楷体"/>
          <w:sz w:val="32"/>
          <w:szCs w:val="32"/>
        </w:rPr>
        <w:t>（</w:t>
      </w:r>
      <w:r>
        <w:rPr>
          <w:rFonts w:hint="eastAsia" w:ascii="Times New Roman" w:hAnsi="Times New Roman" w:eastAsia="楷体"/>
          <w:sz w:val="32"/>
          <w:szCs w:val="32"/>
        </w:rPr>
        <w:t>一</w:t>
      </w:r>
      <w:r>
        <w:rPr>
          <w:rFonts w:ascii="Times New Roman" w:hAnsi="Times New Roman" w:eastAsia="楷体"/>
          <w:sz w:val="32"/>
          <w:szCs w:val="32"/>
        </w:rPr>
        <w:t>）矿产资源勘查开采调控方向</w:t>
      </w:r>
      <w:bookmarkEnd w:id="28"/>
    </w:p>
    <w:p>
      <w:pPr>
        <w:widowControl/>
        <w:adjustRightInd/>
        <w:spacing w:line="560" w:lineRule="exact"/>
        <w:ind w:firstLine="656" w:firstLineChars="200"/>
        <w:rPr>
          <w:rFonts w:ascii="Times New Roman" w:eastAsia="仿宋_GB2312"/>
          <w:sz w:val="32"/>
          <w:szCs w:val="32"/>
        </w:rPr>
      </w:pPr>
      <w:r>
        <w:rPr>
          <w:rFonts w:ascii="Times New Roman" w:eastAsia="仿宋_GB2312"/>
          <w:sz w:val="32"/>
          <w:szCs w:val="32"/>
        </w:rPr>
        <w:t>落实国家、自治区能源资源安全战略，结合伊宁县实际，合理确定区域内重点、限制、禁止勘查开发矿种。</w:t>
      </w:r>
    </w:p>
    <w:p>
      <w:pPr>
        <w:spacing w:line="560" w:lineRule="exact"/>
        <w:ind w:firstLine="659" w:firstLineChars="200"/>
        <w:rPr>
          <w:rFonts w:ascii="Times New Roman" w:eastAsia="仿宋_GB2312"/>
          <w:sz w:val="32"/>
          <w:szCs w:val="32"/>
        </w:rPr>
      </w:pPr>
      <w:r>
        <w:rPr>
          <w:rFonts w:ascii="Times New Roman" w:eastAsia="仿宋_GB2312"/>
          <w:b/>
          <w:sz w:val="32"/>
          <w:szCs w:val="32"/>
        </w:rPr>
        <w:t>重点勘查</w:t>
      </w:r>
      <w:r>
        <w:rPr>
          <w:rFonts w:hint="eastAsia" w:ascii="Times New Roman" w:eastAsia="仿宋_GB2312"/>
          <w:b/>
          <w:sz w:val="32"/>
          <w:szCs w:val="32"/>
        </w:rPr>
        <w:t>开采</w:t>
      </w:r>
      <w:r>
        <w:rPr>
          <w:rFonts w:ascii="Times New Roman" w:eastAsia="仿宋_GB2312"/>
          <w:b/>
          <w:sz w:val="32"/>
          <w:szCs w:val="32"/>
        </w:rPr>
        <w:t>的矿种</w:t>
      </w:r>
      <w:r>
        <w:rPr>
          <w:rFonts w:hint="eastAsia" w:ascii="Times New Roman" w:eastAsia="仿宋_GB2312"/>
          <w:b/>
          <w:sz w:val="32"/>
          <w:szCs w:val="32"/>
          <w:lang w:eastAsia="zh-CN"/>
        </w:rPr>
        <w:t>：</w:t>
      </w:r>
      <w:r>
        <w:rPr>
          <w:rFonts w:ascii="Times New Roman" w:eastAsia="仿宋_GB2312"/>
          <w:sz w:val="32"/>
          <w:szCs w:val="32"/>
        </w:rPr>
        <w:t>煤、地热等能源矿产，铁、铜、铅锌、金等金属矿产，特色石材、硅质原料等非金属矿产，矿泉水等水气矿产。</w:t>
      </w:r>
    </w:p>
    <w:p>
      <w:pPr>
        <w:spacing w:line="560" w:lineRule="exact"/>
        <w:ind w:firstLine="659" w:firstLineChars="200"/>
        <w:rPr>
          <w:rFonts w:ascii="Times New Roman" w:eastAsia="仿宋_GB2312"/>
          <w:sz w:val="32"/>
          <w:szCs w:val="32"/>
        </w:rPr>
      </w:pPr>
      <w:r>
        <w:rPr>
          <w:rFonts w:ascii="Times New Roman" w:eastAsia="仿宋_GB2312"/>
          <w:b/>
          <w:bCs/>
          <w:sz w:val="32"/>
          <w:szCs w:val="32"/>
        </w:rPr>
        <w:t>限制开采矿种</w:t>
      </w:r>
      <w:r>
        <w:rPr>
          <w:rFonts w:hint="eastAsia" w:ascii="Times New Roman" w:eastAsia="仿宋_GB2312"/>
          <w:b/>
          <w:bCs/>
          <w:sz w:val="32"/>
          <w:szCs w:val="32"/>
          <w:lang w:eastAsia="zh-CN"/>
        </w:rPr>
        <w:t>：</w:t>
      </w:r>
      <w:r>
        <w:rPr>
          <w:rFonts w:ascii="Times New Roman" w:eastAsia="仿宋_GB2312"/>
          <w:sz w:val="32"/>
          <w:szCs w:val="32"/>
        </w:rPr>
        <w:t>砖瓦用粘土等矿产。</w:t>
      </w:r>
    </w:p>
    <w:p>
      <w:pPr>
        <w:spacing w:line="560" w:lineRule="exact"/>
        <w:ind w:firstLine="659" w:firstLineChars="200"/>
        <w:rPr>
          <w:rFonts w:ascii="Times New Roman" w:eastAsia="仿宋_GB2312"/>
          <w:sz w:val="32"/>
          <w:szCs w:val="32"/>
        </w:rPr>
      </w:pPr>
      <w:r>
        <w:rPr>
          <w:rFonts w:ascii="Times New Roman" w:eastAsia="仿宋_GB2312"/>
          <w:b/>
          <w:bCs/>
          <w:sz w:val="32"/>
          <w:szCs w:val="32"/>
        </w:rPr>
        <w:t>禁止开采矿种</w:t>
      </w:r>
      <w:r>
        <w:rPr>
          <w:rFonts w:hint="eastAsia" w:ascii="Times New Roman" w:eastAsia="仿宋_GB2312"/>
          <w:b/>
          <w:bCs/>
          <w:sz w:val="32"/>
          <w:szCs w:val="32"/>
          <w:lang w:eastAsia="zh-CN"/>
        </w:rPr>
        <w:t>：</w:t>
      </w:r>
      <w:r>
        <w:rPr>
          <w:rFonts w:ascii="Times New Roman" w:eastAsia="仿宋_GB2312"/>
          <w:sz w:val="32"/>
          <w:szCs w:val="32"/>
        </w:rPr>
        <w:t>禁止开采砷和放射性等有毒有害物质超过规定标准的煤炭项目，可耕地砖瓦用粘土等矿产。</w:t>
      </w:r>
    </w:p>
    <w:p>
      <w:pPr>
        <w:spacing w:line="560" w:lineRule="exact"/>
        <w:ind w:firstLine="656" w:firstLineChars="200"/>
        <w:rPr>
          <w:rFonts w:ascii="Times New Roman" w:eastAsia="仿宋_GB2312"/>
          <w:sz w:val="32"/>
          <w:szCs w:val="32"/>
        </w:rPr>
      </w:pPr>
      <w:r>
        <w:rPr>
          <w:rFonts w:ascii="Times New Roman" w:eastAsia="仿宋_GB2312"/>
          <w:sz w:val="32"/>
          <w:szCs w:val="32"/>
        </w:rPr>
        <w:t>对于铁、铜等国家、自治区紧缺矿产，实行鼓励性勘查开发政策；对于地热等非常规能源，要加大调查评价和勘查力度，积极提升资源供给能力；对于服务民生的非金属矿产以及水气矿产，根据经济发展需要，推进调查评价和勘查开发，助力乡村振兴、文化旅游产业发展；对于资源储量丰富、供给能力过剩的矿产，要大力推进上下游产业联合、重组，促进外销，发展深加工，消化过剩产能。合理控制国家规定实行保护性开采的特定矿种开采强度。</w:t>
      </w:r>
    </w:p>
    <w:p>
      <w:pPr>
        <w:pStyle w:val="3"/>
        <w:spacing w:before="0" w:beforeLines="0" w:after="0" w:afterLines="0" w:line="560" w:lineRule="exact"/>
        <w:ind w:firstLine="659" w:firstLineChars="200"/>
        <w:jc w:val="both"/>
        <w:rPr>
          <w:rFonts w:ascii="Times New Roman" w:hAnsi="Times New Roman" w:eastAsia="楷体"/>
          <w:sz w:val="32"/>
          <w:szCs w:val="32"/>
        </w:rPr>
      </w:pPr>
      <w:bookmarkStart w:id="29" w:name="_Toc130413609"/>
      <w:r>
        <w:rPr>
          <w:rFonts w:ascii="Times New Roman" w:hAnsi="Times New Roman" w:eastAsia="楷体"/>
          <w:sz w:val="32"/>
          <w:szCs w:val="32"/>
        </w:rPr>
        <w:t>（二）矿产资源产业重点发展区域</w:t>
      </w:r>
      <w:bookmarkEnd w:id="29"/>
    </w:p>
    <w:p>
      <w:pPr>
        <w:spacing w:line="560" w:lineRule="exact"/>
        <w:ind w:firstLine="659" w:firstLineChars="200"/>
        <w:rPr>
          <w:rFonts w:ascii="Times New Roman" w:eastAsia="仿宋_GB2312"/>
          <w:sz w:val="32"/>
          <w:szCs w:val="32"/>
        </w:rPr>
      </w:pPr>
      <w:r>
        <w:rPr>
          <w:rFonts w:ascii="Times New Roman" w:eastAsia="仿宋_GB2312"/>
          <w:b/>
          <w:sz w:val="32"/>
          <w:szCs w:val="32"/>
        </w:rPr>
        <w:t>矿产资源开发及相关产业发展重点区域。</w:t>
      </w:r>
    </w:p>
    <w:tbl>
      <w:tblPr>
        <w:tblStyle w:val="34"/>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0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tcPr>
          <w:p>
            <w:pPr>
              <w:tabs>
                <w:tab w:val="left" w:pos="1896"/>
              </w:tabs>
              <w:spacing w:line="240" w:lineRule="auto"/>
              <w:rPr>
                <w:rFonts w:ascii="Times New Roman"/>
                <w:b/>
                <w:bCs/>
                <w:sz w:val="21"/>
                <w:szCs w:val="21"/>
              </w:rPr>
            </w:pPr>
            <w:r>
              <w:rPr>
                <w:rFonts w:ascii="Times New Roman" w:eastAsia="仿宋_GB2312"/>
                <w:b/>
                <w:bCs/>
                <w:sz w:val="21"/>
                <w:szCs w:val="21"/>
              </w:rPr>
              <w:t>专栏10                                             重点区域发展方向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tcPr>
          <w:p>
            <w:pPr>
              <w:tabs>
                <w:tab w:val="left" w:pos="1896"/>
              </w:tabs>
              <w:spacing w:line="240" w:lineRule="auto"/>
              <w:rPr>
                <w:rFonts w:ascii="Times New Roman" w:eastAsia="仿宋_GB2312"/>
                <w:b/>
                <w:bCs/>
                <w:sz w:val="21"/>
                <w:szCs w:val="21"/>
              </w:rPr>
            </w:pPr>
            <w:r>
              <w:rPr>
                <w:rFonts w:ascii="Times New Roman" w:eastAsia="仿宋_GB2312"/>
                <w:b/>
                <w:bCs/>
                <w:sz w:val="21"/>
                <w:szCs w:val="21"/>
              </w:rPr>
              <w:t>1.伊宁县能源、金矿业重点发展区</w:t>
            </w:r>
          </w:p>
          <w:p>
            <w:pPr>
              <w:spacing w:line="240" w:lineRule="auto"/>
              <w:ind w:firstLine="436" w:firstLineChars="200"/>
              <w:jc w:val="left"/>
              <w:rPr>
                <w:rFonts w:ascii="Times New Roman" w:eastAsia="仿宋_GB2312"/>
                <w:sz w:val="21"/>
                <w:szCs w:val="21"/>
              </w:rPr>
            </w:pPr>
            <w:r>
              <w:rPr>
                <w:rFonts w:ascii="Times New Roman" w:eastAsia="仿宋_GB2312"/>
                <w:sz w:val="21"/>
                <w:szCs w:val="21"/>
              </w:rPr>
              <w:t>发展方向</w:t>
            </w:r>
            <w:r>
              <w:rPr>
                <w:rFonts w:hint="eastAsia" w:ascii="Times New Roman" w:eastAsia="仿宋_GB2312"/>
                <w:sz w:val="21"/>
                <w:szCs w:val="21"/>
                <w:lang w:eastAsia="zh-CN"/>
              </w:rPr>
              <w:t>：</w:t>
            </w:r>
            <w:r>
              <w:rPr>
                <w:rFonts w:ascii="Times New Roman" w:eastAsia="仿宋_GB2312"/>
                <w:sz w:val="21"/>
                <w:szCs w:val="21"/>
              </w:rPr>
              <w:t>依托区内伊宁煤矿区（北区）丰富的煤炭资源，阿希-奥依曼金矿重点开采区、阿希-尼勒克金矿重点勘查区，以及区丰富的非金属矿产，</w:t>
            </w:r>
            <w:r>
              <w:rPr>
                <w:rFonts w:hint="eastAsia" w:ascii="Times New Roman" w:eastAsia="仿宋_GB2312"/>
                <w:sz w:val="21"/>
                <w:szCs w:val="21"/>
              </w:rPr>
              <w:t>集合区内现有产业园区，实现</w:t>
            </w:r>
            <w:r>
              <w:rPr>
                <w:rFonts w:ascii="Times New Roman" w:eastAsia="仿宋_GB2312"/>
                <w:sz w:val="21"/>
                <w:szCs w:val="21"/>
              </w:rPr>
              <w:t>煤制气</w:t>
            </w:r>
            <w:r>
              <w:rPr>
                <w:rFonts w:hint="eastAsia" w:ascii="Times New Roman" w:eastAsia="仿宋_GB2312"/>
                <w:sz w:val="21"/>
                <w:szCs w:val="21"/>
              </w:rPr>
              <w:t>及其他化工产品的突破，延伸煤炭、金产业链，构建煤炭化工基地</w:t>
            </w:r>
            <w:r>
              <w:rPr>
                <w:rFonts w:ascii="Times New Roman" w:eastAsia="仿宋_GB2312"/>
                <w:sz w:val="21"/>
                <w:szCs w:val="21"/>
              </w:rPr>
              <w:t>。</w:t>
            </w:r>
          </w:p>
          <w:p>
            <w:pPr>
              <w:spacing w:line="240" w:lineRule="auto"/>
              <w:ind w:firstLine="436" w:firstLineChars="200"/>
              <w:jc w:val="left"/>
              <w:rPr>
                <w:rFonts w:ascii="Times New Roman" w:eastAsia="仿宋_GB2312"/>
                <w:sz w:val="21"/>
                <w:szCs w:val="21"/>
              </w:rPr>
            </w:pPr>
            <w:r>
              <w:rPr>
                <w:rFonts w:ascii="Times New Roman" w:eastAsia="仿宋_GB2312"/>
                <w:sz w:val="21"/>
                <w:szCs w:val="21"/>
              </w:rPr>
              <w:t>勘查方向</w:t>
            </w:r>
            <w:r>
              <w:rPr>
                <w:rFonts w:hint="eastAsia" w:ascii="Times New Roman" w:eastAsia="仿宋_GB2312"/>
                <w:sz w:val="21"/>
                <w:szCs w:val="21"/>
                <w:lang w:eastAsia="zh-CN"/>
              </w:rPr>
              <w:t>：</w:t>
            </w:r>
            <w:r>
              <w:rPr>
                <w:rFonts w:ascii="Times New Roman" w:eastAsia="仿宋_GB2312"/>
                <w:sz w:val="21"/>
                <w:szCs w:val="21"/>
              </w:rPr>
              <w:t>开展矿区周边金矿勘查，开展</w:t>
            </w:r>
            <w:r>
              <w:rPr>
                <w:rFonts w:hint="eastAsia" w:ascii="Times New Roman" w:eastAsia="仿宋_GB2312"/>
                <w:sz w:val="21"/>
                <w:szCs w:val="21"/>
              </w:rPr>
              <w:t>石英岩、玄武岩、安山岩等非金属</w:t>
            </w:r>
            <w:r>
              <w:rPr>
                <w:rFonts w:ascii="Times New Roman" w:eastAsia="仿宋_GB2312"/>
                <w:sz w:val="21"/>
                <w:szCs w:val="21"/>
              </w:rPr>
              <w:t>调查</w:t>
            </w:r>
            <w:r>
              <w:rPr>
                <w:rFonts w:hint="eastAsia" w:ascii="Times New Roman" w:eastAsia="仿宋_GB2312"/>
                <w:sz w:val="21"/>
                <w:szCs w:val="21"/>
              </w:rPr>
              <w:t>评价</w:t>
            </w:r>
            <w:r>
              <w:rPr>
                <w:rFonts w:ascii="Times New Roman" w:eastAsia="仿宋_GB2312"/>
                <w:sz w:val="21"/>
                <w:szCs w:val="21"/>
              </w:rPr>
              <w:t>。</w:t>
            </w:r>
          </w:p>
          <w:p>
            <w:pPr>
              <w:spacing w:line="240" w:lineRule="auto"/>
              <w:ind w:firstLine="436" w:firstLineChars="200"/>
              <w:jc w:val="left"/>
              <w:rPr>
                <w:rFonts w:ascii="Times New Roman" w:eastAsia="仿宋_GB2312"/>
                <w:sz w:val="21"/>
                <w:szCs w:val="21"/>
              </w:rPr>
            </w:pPr>
            <w:r>
              <w:rPr>
                <w:rFonts w:ascii="Times New Roman" w:eastAsia="仿宋_GB2312"/>
                <w:sz w:val="21"/>
                <w:szCs w:val="21"/>
              </w:rPr>
              <w:t>开发方向</w:t>
            </w:r>
            <w:r>
              <w:rPr>
                <w:rFonts w:hint="eastAsia" w:ascii="Times New Roman" w:eastAsia="仿宋_GB2312"/>
                <w:sz w:val="21"/>
                <w:szCs w:val="21"/>
                <w:lang w:eastAsia="zh-CN"/>
              </w:rPr>
              <w:t>：</w:t>
            </w:r>
            <w:r>
              <w:rPr>
                <w:rFonts w:ascii="Times New Roman" w:eastAsia="仿宋_GB2312"/>
                <w:sz w:val="21"/>
                <w:szCs w:val="21"/>
              </w:rPr>
              <w:t>稳定煤炭、</w:t>
            </w:r>
            <w:r>
              <w:rPr>
                <w:rFonts w:hint="eastAsia" w:ascii="Times New Roman" w:eastAsia="仿宋_GB2312"/>
                <w:sz w:val="21"/>
                <w:szCs w:val="21"/>
              </w:rPr>
              <w:t>黄金</w:t>
            </w:r>
            <w:r>
              <w:rPr>
                <w:rFonts w:ascii="Times New Roman" w:eastAsia="仿宋_GB2312"/>
                <w:sz w:val="21"/>
                <w:szCs w:val="21"/>
              </w:rPr>
              <w:t>产量</w:t>
            </w:r>
            <w:r>
              <w:rPr>
                <w:rFonts w:hint="eastAsia" w:ascii="Times New Roman" w:eastAsia="仿宋_GB2312"/>
                <w:sz w:val="21"/>
                <w:szCs w:val="21"/>
              </w:rPr>
              <w:t>，</w:t>
            </w:r>
            <w:r>
              <w:rPr>
                <w:rFonts w:ascii="Times New Roman" w:eastAsia="仿宋_GB2312"/>
                <w:sz w:val="21"/>
                <w:szCs w:val="21"/>
              </w:rPr>
              <w:t>推进下游产业链延伸；加大对陶瓷粘土矿、石英岩、玄武岩等矿产开发，砂石粘土、建筑石料实现集中开采。实施粉煤灰、煤矸石等大宗固体废弃物资源化利用，提高矿产资源回收利用率。</w:t>
            </w:r>
          </w:p>
          <w:p>
            <w:pPr>
              <w:tabs>
                <w:tab w:val="left" w:pos="1896"/>
              </w:tabs>
              <w:spacing w:line="240" w:lineRule="auto"/>
              <w:rPr>
                <w:rFonts w:ascii="Times New Roman" w:eastAsia="仿宋_GB2312"/>
                <w:b/>
                <w:bCs/>
                <w:sz w:val="21"/>
                <w:szCs w:val="21"/>
              </w:rPr>
            </w:pPr>
            <w:r>
              <w:rPr>
                <w:rFonts w:ascii="Times New Roman" w:eastAsia="仿宋_GB2312"/>
                <w:b/>
                <w:bCs/>
                <w:sz w:val="21"/>
                <w:szCs w:val="21"/>
              </w:rPr>
              <w:t>2.</w:t>
            </w:r>
            <w:r>
              <w:rPr>
                <w:rFonts w:hint="eastAsia" w:ascii="Times New Roman" w:eastAsia="仿宋_GB2312"/>
                <w:b/>
                <w:bCs/>
                <w:sz w:val="21"/>
                <w:szCs w:val="21"/>
              </w:rPr>
              <w:t>伊宁县北部地区砂石粘土矿等非金属建材重点发展区</w:t>
            </w:r>
          </w:p>
          <w:p>
            <w:pPr>
              <w:spacing w:line="240" w:lineRule="auto"/>
              <w:ind w:firstLine="436" w:firstLineChars="200"/>
              <w:jc w:val="left"/>
              <w:rPr>
                <w:rFonts w:ascii="Times New Roman" w:eastAsia="仿宋_GB2312"/>
                <w:sz w:val="21"/>
                <w:szCs w:val="21"/>
              </w:rPr>
            </w:pPr>
            <w:r>
              <w:rPr>
                <w:rFonts w:hint="eastAsia" w:ascii="Times New Roman" w:eastAsia="仿宋_GB2312"/>
                <w:sz w:val="21"/>
                <w:szCs w:val="21"/>
              </w:rPr>
              <w:t>发展方向</w:t>
            </w:r>
            <w:r>
              <w:rPr>
                <w:rFonts w:hint="eastAsia" w:ascii="Times New Roman" w:eastAsia="仿宋_GB2312"/>
                <w:sz w:val="21"/>
                <w:szCs w:val="21"/>
                <w:lang w:eastAsia="zh-CN"/>
              </w:rPr>
              <w:t>：</w:t>
            </w:r>
            <w:r>
              <w:rPr>
                <w:rFonts w:hint="eastAsia" w:ascii="Times New Roman" w:eastAsia="仿宋_GB2312"/>
                <w:sz w:val="21"/>
                <w:szCs w:val="21"/>
              </w:rPr>
              <w:t>立足伊宁县交通区位优势和砂石、水泥建材资源优势，充分发挥科技作用，加快产业优化升级，依托伊东工业园区，开发新型节能环保建材和绿色装饰材料，发展多功能复合一体化、轻质化、空心化的新型墙体材料，全面提升建材产业资源综合利用效率，生产中高档、多功能、新型建材产品，建设新型建材产业示范基地，积极推进相关生产线项目建设。</w:t>
            </w:r>
          </w:p>
          <w:p>
            <w:pPr>
              <w:spacing w:line="240" w:lineRule="auto"/>
              <w:ind w:firstLine="436" w:firstLineChars="200"/>
              <w:jc w:val="left"/>
              <w:rPr>
                <w:rFonts w:ascii="Times New Roman" w:eastAsia="仿宋_GB2312"/>
                <w:sz w:val="21"/>
                <w:szCs w:val="21"/>
              </w:rPr>
            </w:pPr>
            <w:r>
              <w:rPr>
                <w:rFonts w:hint="eastAsia" w:ascii="Times New Roman" w:eastAsia="仿宋_GB2312"/>
                <w:sz w:val="21"/>
                <w:szCs w:val="21"/>
              </w:rPr>
              <w:t>勘查方向</w:t>
            </w:r>
            <w:r>
              <w:rPr>
                <w:rFonts w:hint="eastAsia" w:ascii="Times New Roman" w:eastAsia="仿宋_GB2312"/>
                <w:sz w:val="21"/>
                <w:szCs w:val="21"/>
                <w:lang w:eastAsia="zh-CN"/>
              </w:rPr>
              <w:t>：</w:t>
            </w:r>
            <w:r>
              <w:rPr>
                <w:rFonts w:hint="eastAsia" w:ascii="Times New Roman" w:eastAsia="仿宋_GB2312"/>
                <w:sz w:val="21"/>
                <w:szCs w:val="21"/>
              </w:rPr>
              <w:t>积极推动区内石英岩、玄武岩、高岭土等二类矿产的勘查工作。</w:t>
            </w:r>
          </w:p>
          <w:p>
            <w:pPr>
              <w:spacing w:line="240" w:lineRule="auto"/>
              <w:ind w:firstLine="436" w:firstLineChars="200"/>
              <w:jc w:val="left"/>
              <w:rPr>
                <w:rFonts w:ascii="Times New Roman"/>
                <w:sz w:val="21"/>
                <w:szCs w:val="21"/>
              </w:rPr>
            </w:pPr>
            <w:r>
              <w:rPr>
                <w:rFonts w:hint="eastAsia" w:ascii="Times New Roman" w:eastAsia="仿宋_GB2312"/>
                <w:sz w:val="21"/>
                <w:szCs w:val="21"/>
              </w:rPr>
              <w:t>开发方向</w:t>
            </w:r>
            <w:r>
              <w:rPr>
                <w:rFonts w:hint="eastAsia" w:ascii="Times New Roman" w:eastAsia="仿宋_GB2312"/>
                <w:sz w:val="21"/>
                <w:szCs w:val="21"/>
                <w:lang w:eastAsia="zh-CN"/>
              </w:rPr>
              <w:t>：</w:t>
            </w:r>
            <w:r>
              <w:rPr>
                <w:rFonts w:hint="eastAsia" w:ascii="Times New Roman" w:eastAsia="仿宋_GB2312"/>
                <w:sz w:val="21"/>
                <w:szCs w:val="21"/>
              </w:rPr>
              <w:t>进行砂石粘土集中开采，根据矿山资源储量，服务年限，准入条件，引入大型企业进行大中型矿山建设，推行绿色矿山建设，监管矿山生态环境修复与保护。</w:t>
            </w:r>
          </w:p>
        </w:tc>
      </w:tr>
    </w:tbl>
    <w:p>
      <w:pPr>
        <w:pStyle w:val="3"/>
        <w:spacing w:before="0" w:beforeLines="0" w:after="0" w:afterLines="0" w:line="560" w:lineRule="exact"/>
        <w:ind w:firstLine="659" w:firstLineChars="200"/>
        <w:jc w:val="both"/>
        <w:rPr>
          <w:rFonts w:ascii="Times New Roman" w:hAnsi="Times New Roman" w:eastAsia="楷体"/>
          <w:sz w:val="32"/>
          <w:szCs w:val="32"/>
        </w:rPr>
      </w:pPr>
      <w:bookmarkStart w:id="30" w:name="_Toc130413610"/>
      <w:r>
        <w:rPr>
          <w:rFonts w:ascii="Times New Roman" w:hAnsi="Times New Roman" w:eastAsia="楷体"/>
          <w:sz w:val="32"/>
          <w:szCs w:val="32"/>
        </w:rPr>
        <w:t>（三）勘查开采与保护布局</w:t>
      </w:r>
      <w:bookmarkEnd w:id="30"/>
    </w:p>
    <w:p>
      <w:pPr>
        <w:spacing w:line="560" w:lineRule="exact"/>
        <w:ind w:firstLine="659" w:firstLineChars="200"/>
        <w:rPr>
          <w:rFonts w:ascii="Times New Roman" w:eastAsia="仿宋_GB2312"/>
          <w:sz w:val="32"/>
          <w:szCs w:val="32"/>
        </w:rPr>
      </w:pPr>
      <w:bookmarkStart w:id="31" w:name="_Toc64223680"/>
      <w:bookmarkStart w:id="32" w:name="_Toc26890"/>
      <w:r>
        <w:rPr>
          <w:rFonts w:ascii="Times New Roman" w:eastAsia="仿宋_GB2312"/>
          <w:b/>
          <w:sz w:val="32"/>
          <w:szCs w:val="32"/>
        </w:rPr>
        <w:t>优化调整原则</w:t>
      </w:r>
      <w:bookmarkEnd w:id="31"/>
      <w:r>
        <w:rPr>
          <w:rFonts w:ascii="Times New Roman" w:eastAsia="仿宋_GB2312"/>
          <w:b/>
          <w:sz w:val="32"/>
          <w:szCs w:val="32"/>
        </w:rPr>
        <w:t>。</w:t>
      </w:r>
      <w:r>
        <w:rPr>
          <w:rFonts w:ascii="Times New Roman" w:eastAsia="仿宋_GB2312"/>
          <w:sz w:val="32"/>
          <w:szCs w:val="32"/>
        </w:rPr>
        <w:t>建立协调有序的生态空间划定工作机制，强化部门联动，上下结合，充分与国土空间规划、矿产资源勘查开发利用布局等相衔接，与经济社会发展需求和当前监管能力相适应。以国家法律法规为准绳，严守三条</w:t>
      </w:r>
      <w:r>
        <w:rPr>
          <w:rFonts w:hint="eastAsia" w:ascii="Times New Roman" w:eastAsia="仿宋_GB2312"/>
          <w:sz w:val="32"/>
          <w:szCs w:val="32"/>
        </w:rPr>
        <w:t>控制</w:t>
      </w:r>
      <w:r>
        <w:rPr>
          <w:rFonts w:ascii="Times New Roman" w:eastAsia="仿宋_GB2312"/>
          <w:sz w:val="32"/>
          <w:szCs w:val="32"/>
        </w:rPr>
        <w:t>线，严格落实国土空间管控，强化空间布局约束，严控不合理开发建设活动对生态空间的破坏。</w:t>
      </w:r>
    </w:p>
    <w:bookmarkEnd w:id="32"/>
    <w:p>
      <w:pPr>
        <w:spacing w:line="560" w:lineRule="exact"/>
        <w:ind w:firstLine="659" w:firstLineChars="200"/>
        <w:rPr>
          <w:rFonts w:ascii="Times New Roman" w:eastAsia="仿宋_GB2312"/>
          <w:sz w:val="32"/>
          <w:szCs w:val="32"/>
        </w:rPr>
      </w:pPr>
      <w:r>
        <w:rPr>
          <w:rFonts w:ascii="Times New Roman" w:eastAsia="仿宋_GB2312"/>
          <w:b/>
          <w:sz w:val="32"/>
          <w:szCs w:val="32"/>
        </w:rPr>
        <w:t>国家规划矿区。</w:t>
      </w:r>
      <w:r>
        <w:rPr>
          <w:rFonts w:ascii="Times New Roman" w:eastAsia="仿宋_GB2312"/>
          <w:sz w:val="32"/>
          <w:szCs w:val="32"/>
        </w:rPr>
        <w:t>落实国家资源安全战略部署，伊宁</w:t>
      </w:r>
      <w:r>
        <w:rPr>
          <w:rFonts w:hint="eastAsia" w:ascii="Times New Roman" w:eastAsia="仿宋_GB2312"/>
          <w:sz w:val="32"/>
          <w:szCs w:val="32"/>
        </w:rPr>
        <w:t>县部署</w:t>
      </w:r>
      <w:r>
        <w:rPr>
          <w:rFonts w:ascii="Times New Roman" w:eastAsia="仿宋_GB2312"/>
          <w:sz w:val="32"/>
          <w:szCs w:val="32"/>
        </w:rPr>
        <w:t>2个国家规划矿区作为重点监管区域，实行统一规划，优化布局，优化资源配置，推动优质资源的规模开发集约利用，确保资源稳定供给。</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4"/>
        <w:gridCol w:w="1895"/>
        <w:gridCol w:w="1714"/>
        <w:gridCol w:w="1571"/>
        <w:gridCol w:w="1287"/>
        <w:gridCol w:w="17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jc w:val="center"/>
        </w:trPr>
        <w:tc>
          <w:tcPr>
            <w:tcW w:w="5000" w:type="pct"/>
            <w:gridSpan w:val="6"/>
            <w:vAlign w:val="center"/>
          </w:tcPr>
          <w:p>
            <w:pPr>
              <w:tabs>
                <w:tab w:val="left" w:pos="1896"/>
              </w:tabs>
              <w:spacing w:line="240" w:lineRule="auto"/>
              <w:rPr>
                <w:rFonts w:ascii="仿宋" w:hAnsi="仿宋"/>
                <w:b/>
                <w:bCs/>
                <w:sz w:val="21"/>
                <w:szCs w:val="21"/>
              </w:rPr>
            </w:pPr>
            <w:r>
              <w:rPr>
                <w:rFonts w:ascii="Times New Roman" w:eastAsia="仿宋_GB2312"/>
                <w:b/>
                <w:bCs/>
                <w:sz w:val="21"/>
                <w:szCs w:val="21"/>
              </w:rPr>
              <w:t>专栏11                                                                 国家规划矿区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449"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序号</w:t>
            </w:r>
          </w:p>
        </w:tc>
        <w:tc>
          <w:tcPr>
            <w:tcW w:w="1046"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名称</w:t>
            </w:r>
          </w:p>
        </w:tc>
        <w:tc>
          <w:tcPr>
            <w:tcW w:w="946"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所在行政区</w:t>
            </w:r>
          </w:p>
        </w:tc>
        <w:tc>
          <w:tcPr>
            <w:tcW w:w="867"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面积（</w:t>
            </w:r>
            <w:r>
              <w:rPr>
                <w:rFonts w:hint="eastAsia" w:ascii="Times New Roman" w:eastAsia="仿宋_GB2312"/>
                <w:bCs/>
                <w:sz w:val="21"/>
                <w:szCs w:val="21"/>
              </w:rPr>
              <w:t>k</w:t>
            </w:r>
            <w:r>
              <w:rPr>
                <w:rFonts w:ascii="Times New Roman" w:eastAsia="仿宋_GB2312"/>
                <w:bCs/>
                <w:sz w:val="21"/>
                <w:szCs w:val="21"/>
              </w:rPr>
              <w:t>m</w:t>
            </w:r>
            <w:r>
              <w:rPr>
                <w:rFonts w:ascii="Times New Roman" w:eastAsia="仿宋_GB2312"/>
                <w:bCs/>
                <w:sz w:val="21"/>
                <w:szCs w:val="21"/>
                <w:vertAlign w:val="superscript"/>
              </w:rPr>
              <w:t>2</w:t>
            </w:r>
            <w:r>
              <w:rPr>
                <w:rFonts w:ascii="Times New Roman" w:eastAsia="仿宋_GB2312"/>
                <w:bCs/>
                <w:sz w:val="21"/>
                <w:szCs w:val="21"/>
              </w:rPr>
              <w:t>）</w:t>
            </w:r>
          </w:p>
        </w:tc>
        <w:tc>
          <w:tcPr>
            <w:tcW w:w="710"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主要矿种</w:t>
            </w:r>
          </w:p>
        </w:tc>
        <w:tc>
          <w:tcPr>
            <w:tcW w:w="982"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pct"/>
            <w:vAlign w:val="center"/>
          </w:tcPr>
          <w:p>
            <w:pPr>
              <w:spacing w:line="240" w:lineRule="auto"/>
              <w:jc w:val="center"/>
              <w:rPr>
                <w:rFonts w:ascii="Times New Roman" w:eastAsia="仿宋_GB2312"/>
                <w:sz w:val="21"/>
                <w:szCs w:val="21"/>
              </w:rPr>
            </w:pPr>
            <w:r>
              <w:rPr>
                <w:rFonts w:ascii="Times New Roman" w:eastAsia="仿宋_GB2312"/>
                <w:sz w:val="21"/>
                <w:szCs w:val="21"/>
              </w:rPr>
              <w:t>1</w:t>
            </w:r>
          </w:p>
        </w:tc>
        <w:tc>
          <w:tcPr>
            <w:tcW w:w="1046" w:type="pct"/>
            <w:vAlign w:val="center"/>
          </w:tcPr>
          <w:p>
            <w:pPr>
              <w:spacing w:line="240" w:lineRule="auto"/>
              <w:ind w:firstLine="436" w:firstLineChars="200"/>
              <w:jc w:val="left"/>
              <w:rPr>
                <w:rFonts w:ascii="Times New Roman" w:eastAsia="仿宋_GB2312"/>
                <w:sz w:val="21"/>
                <w:szCs w:val="21"/>
              </w:rPr>
            </w:pPr>
            <w:r>
              <w:rPr>
                <w:rFonts w:ascii="Times New Roman" w:eastAsia="仿宋_GB2312"/>
                <w:sz w:val="21"/>
                <w:szCs w:val="21"/>
              </w:rPr>
              <w:t>伊宁煤炭</w:t>
            </w:r>
          </w:p>
          <w:p>
            <w:pPr>
              <w:spacing w:line="240" w:lineRule="auto"/>
              <w:jc w:val="center"/>
              <w:rPr>
                <w:rFonts w:ascii="Times New Roman" w:eastAsia="仿宋_GB2312"/>
                <w:sz w:val="21"/>
                <w:szCs w:val="21"/>
              </w:rPr>
            </w:pPr>
            <w:r>
              <w:rPr>
                <w:rFonts w:ascii="Times New Roman" w:eastAsia="仿宋_GB2312"/>
                <w:sz w:val="21"/>
                <w:szCs w:val="21"/>
              </w:rPr>
              <w:t>国家规划矿区</w:t>
            </w:r>
          </w:p>
        </w:tc>
        <w:tc>
          <w:tcPr>
            <w:tcW w:w="946" w:type="pct"/>
            <w:vAlign w:val="center"/>
          </w:tcPr>
          <w:p>
            <w:pPr>
              <w:spacing w:line="240" w:lineRule="auto"/>
              <w:ind w:firstLine="436" w:firstLineChars="200"/>
              <w:jc w:val="left"/>
              <w:rPr>
                <w:rFonts w:ascii="Times New Roman" w:eastAsia="仿宋_GB2312"/>
                <w:sz w:val="21"/>
                <w:szCs w:val="21"/>
              </w:rPr>
            </w:pPr>
            <w:r>
              <w:rPr>
                <w:rFonts w:ascii="Times New Roman" w:eastAsia="仿宋_GB2312"/>
                <w:sz w:val="21"/>
                <w:szCs w:val="21"/>
              </w:rPr>
              <w:t>伊宁县</w:t>
            </w:r>
          </w:p>
        </w:tc>
        <w:tc>
          <w:tcPr>
            <w:tcW w:w="867" w:type="pct"/>
            <w:vAlign w:val="center"/>
          </w:tcPr>
          <w:p>
            <w:pPr>
              <w:spacing w:line="240" w:lineRule="auto"/>
              <w:ind w:firstLine="436" w:firstLineChars="200"/>
              <w:jc w:val="left"/>
              <w:rPr>
                <w:rFonts w:ascii="Times New Roman" w:eastAsia="仿宋_GB2312"/>
                <w:sz w:val="21"/>
                <w:szCs w:val="21"/>
              </w:rPr>
            </w:pPr>
            <w:r>
              <w:rPr>
                <w:rFonts w:ascii="Times New Roman" w:eastAsia="仿宋_GB2312"/>
                <w:sz w:val="21"/>
                <w:szCs w:val="21"/>
              </w:rPr>
              <w:t>154.90</w:t>
            </w:r>
          </w:p>
        </w:tc>
        <w:tc>
          <w:tcPr>
            <w:tcW w:w="710" w:type="pct"/>
            <w:vAlign w:val="center"/>
          </w:tcPr>
          <w:p>
            <w:pPr>
              <w:spacing w:line="240" w:lineRule="auto"/>
              <w:ind w:firstLine="436" w:firstLineChars="200"/>
              <w:jc w:val="left"/>
              <w:rPr>
                <w:rFonts w:ascii="Times New Roman" w:eastAsia="仿宋_GB2312"/>
                <w:sz w:val="21"/>
                <w:szCs w:val="21"/>
              </w:rPr>
            </w:pPr>
            <w:r>
              <w:rPr>
                <w:rFonts w:ascii="Times New Roman" w:eastAsia="仿宋_GB2312"/>
                <w:sz w:val="21"/>
                <w:szCs w:val="21"/>
              </w:rPr>
              <w:t>煤</w:t>
            </w:r>
          </w:p>
        </w:tc>
        <w:tc>
          <w:tcPr>
            <w:tcW w:w="982" w:type="pct"/>
            <w:vAlign w:val="center"/>
          </w:tcPr>
          <w:p>
            <w:pPr>
              <w:spacing w:line="240" w:lineRule="auto"/>
              <w:rPr>
                <w:rFonts w:ascii="Times New Roman" w:eastAsia="仿宋_GB2312"/>
                <w:sz w:val="21"/>
                <w:szCs w:val="21"/>
              </w:rPr>
            </w:pPr>
            <w:r>
              <w:rPr>
                <w:rFonts w:ascii="Times New Roman" w:eastAsia="仿宋_GB2312"/>
                <w:sz w:val="21"/>
                <w:szCs w:val="21"/>
              </w:rPr>
              <w:t>落实</w:t>
            </w:r>
            <w:r>
              <w:rPr>
                <w:rFonts w:hint="eastAsia" w:ascii="Times New Roman" w:eastAsia="仿宋_GB2312"/>
                <w:sz w:val="21"/>
                <w:szCs w:val="21"/>
              </w:rPr>
              <w:t>自治区</w:t>
            </w:r>
            <w:r>
              <w:rPr>
                <w:rFonts w:ascii="Times New Roman" w:eastAsia="仿宋_GB2312"/>
                <w:sz w:val="21"/>
                <w:szCs w:val="21"/>
              </w:rPr>
              <w:t>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49"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p>
        </w:tc>
        <w:tc>
          <w:tcPr>
            <w:tcW w:w="1046" w:type="pct"/>
            <w:vAlign w:val="center"/>
          </w:tcPr>
          <w:p>
            <w:pPr>
              <w:spacing w:line="240" w:lineRule="auto"/>
              <w:jc w:val="center"/>
              <w:rPr>
                <w:rFonts w:ascii="Times New Roman" w:eastAsia="仿宋_GB2312"/>
                <w:sz w:val="21"/>
                <w:szCs w:val="21"/>
              </w:rPr>
            </w:pPr>
            <w:r>
              <w:rPr>
                <w:rFonts w:ascii="Times New Roman" w:eastAsia="仿宋_GB2312"/>
                <w:sz w:val="21"/>
                <w:szCs w:val="21"/>
              </w:rPr>
              <w:t>阿希</w:t>
            </w:r>
            <w:r>
              <w:rPr>
                <w:rFonts w:hint="eastAsia" w:ascii="Times New Roman" w:eastAsia="仿宋_GB2312"/>
                <w:sz w:val="21"/>
                <w:szCs w:val="21"/>
              </w:rPr>
              <w:t>-</w:t>
            </w:r>
            <w:r>
              <w:rPr>
                <w:rFonts w:ascii="Times New Roman" w:eastAsia="仿宋_GB2312"/>
                <w:sz w:val="21"/>
                <w:szCs w:val="21"/>
              </w:rPr>
              <w:t>奥依曼金矿</w:t>
            </w:r>
          </w:p>
          <w:p>
            <w:pPr>
              <w:spacing w:line="240" w:lineRule="auto"/>
              <w:jc w:val="center"/>
              <w:rPr>
                <w:rFonts w:ascii="Times New Roman" w:eastAsia="仿宋_GB2312"/>
                <w:sz w:val="21"/>
                <w:szCs w:val="21"/>
              </w:rPr>
            </w:pPr>
            <w:r>
              <w:rPr>
                <w:rFonts w:ascii="Times New Roman" w:eastAsia="仿宋_GB2312"/>
                <w:sz w:val="21"/>
                <w:szCs w:val="21"/>
              </w:rPr>
              <w:t>国家规划矿区</w:t>
            </w:r>
          </w:p>
        </w:tc>
        <w:tc>
          <w:tcPr>
            <w:tcW w:w="946" w:type="pct"/>
            <w:vAlign w:val="center"/>
          </w:tcPr>
          <w:p>
            <w:pPr>
              <w:spacing w:line="240" w:lineRule="auto"/>
              <w:ind w:firstLine="436" w:firstLineChars="200"/>
              <w:jc w:val="left"/>
              <w:rPr>
                <w:rFonts w:ascii="Times New Roman" w:eastAsia="仿宋_GB2312"/>
                <w:sz w:val="21"/>
                <w:szCs w:val="21"/>
              </w:rPr>
            </w:pPr>
            <w:r>
              <w:rPr>
                <w:rFonts w:ascii="Times New Roman" w:eastAsia="仿宋_GB2312"/>
                <w:sz w:val="21"/>
                <w:szCs w:val="21"/>
              </w:rPr>
              <w:t>伊宁县</w:t>
            </w:r>
          </w:p>
        </w:tc>
        <w:tc>
          <w:tcPr>
            <w:tcW w:w="867" w:type="pct"/>
            <w:vAlign w:val="center"/>
          </w:tcPr>
          <w:p>
            <w:pPr>
              <w:spacing w:line="240" w:lineRule="auto"/>
              <w:ind w:firstLine="436" w:firstLineChars="200"/>
              <w:jc w:val="left"/>
              <w:rPr>
                <w:rFonts w:ascii="Times New Roman" w:eastAsia="仿宋_GB2312"/>
                <w:sz w:val="21"/>
                <w:szCs w:val="21"/>
              </w:rPr>
            </w:pPr>
            <w:r>
              <w:rPr>
                <w:rFonts w:ascii="Times New Roman" w:eastAsia="仿宋_GB2312"/>
                <w:sz w:val="21"/>
                <w:szCs w:val="21"/>
              </w:rPr>
              <w:t>565.30</w:t>
            </w:r>
          </w:p>
        </w:tc>
        <w:tc>
          <w:tcPr>
            <w:tcW w:w="710" w:type="pct"/>
            <w:vAlign w:val="center"/>
          </w:tcPr>
          <w:p>
            <w:pPr>
              <w:spacing w:line="240" w:lineRule="auto"/>
              <w:ind w:firstLine="436" w:firstLineChars="200"/>
              <w:jc w:val="left"/>
              <w:rPr>
                <w:rFonts w:ascii="Times New Roman" w:eastAsia="仿宋_GB2312"/>
                <w:sz w:val="21"/>
                <w:szCs w:val="21"/>
              </w:rPr>
            </w:pPr>
            <w:r>
              <w:rPr>
                <w:rFonts w:ascii="Times New Roman" w:eastAsia="仿宋_GB2312"/>
                <w:sz w:val="21"/>
                <w:szCs w:val="21"/>
              </w:rPr>
              <w:t>金</w:t>
            </w:r>
          </w:p>
        </w:tc>
        <w:tc>
          <w:tcPr>
            <w:tcW w:w="982" w:type="pct"/>
            <w:vAlign w:val="center"/>
          </w:tcPr>
          <w:p>
            <w:pPr>
              <w:spacing w:line="240" w:lineRule="auto"/>
              <w:rPr>
                <w:rFonts w:ascii="Times New Roman" w:eastAsia="仿宋_GB2312"/>
                <w:sz w:val="21"/>
                <w:szCs w:val="21"/>
              </w:rPr>
            </w:pPr>
            <w:r>
              <w:rPr>
                <w:rFonts w:ascii="Times New Roman" w:eastAsia="仿宋_GB2312"/>
                <w:sz w:val="21"/>
                <w:szCs w:val="21"/>
              </w:rPr>
              <w:t>落实</w:t>
            </w:r>
            <w:r>
              <w:rPr>
                <w:rFonts w:hint="eastAsia" w:ascii="Times New Roman" w:eastAsia="仿宋_GB2312"/>
                <w:sz w:val="21"/>
                <w:szCs w:val="21"/>
              </w:rPr>
              <w:t>自治区</w:t>
            </w:r>
            <w:r>
              <w:rPr>
                <w:rFonts w:ascii="Times New Roman" w:eastAsia="仿宋_GB2312"/>
                <w:sz w:val="21"/>
                <w:szCs w:val="21"/>
              </w:rPr>
              <w:t>规划</w:t>
            </w:r>
          </w:p>
        </w:tc>
      </w:tr>
    </w:tbl>
    <w:p>
      <w:pPr>
        <w:spacing w:line="560" w:lineRule="exact"/>
        <w:ind w:firstLine="659" w:firstLineChars="200"/>
        <w:rPr>
          <w:rFonts w:ascii="Times New Roman" w:eastAsia="仿宋_GB2312"/>
          <w:sz w:val="32"/>
          <w:szCs w:val="32"/>
        </w:rPr>
      </w:pPr>
      <w:r>
        <w:rPr>
          <w:rFonts w:ascii="Times New Roman" w:eastAsia="仿宋_GB2312"/>
          <w:b/>
          <w:sz w:val="32"/>
          <w:szCs w:val="32"/>
        </w:rPr>
        <w:t>重点勘查区。</w:t>
      </w:r>
      <w:r>
        <w:rPr>
          <w:rFonts w:ascii="Times New Roman" w:eastAsia="仿宋_GB2312"/>
          <w:sz w:val="32"/>
          <w:szCs w:val="32"/>
        </w:rPr>
        <w:t>在全面落实上级规划的基础上，部署1个自治区级重点勘查区</w:t>
      </w:r>
      <w:r>
        <w:rPr>
          <w:rFonts w:hint="eastAsia" w:ascii="Times New Roman" w:eastAsia="仿宋_GB2312"/>
          <w:sz w:val="32"/>
          <w:szCs w:val="32"/>
        </w:rPr>
        <w:t>、</w:t>
      </w:r>
      <w:r>
        <w:rPr>
          <w:rFonts w:ascii="Times New Roman" w:eastAsia="仿宋_GB2312"/>
          <w:sz w:val="32"/>
          <w:szCs w:val="32"/>
        </w:rPr>
        <w:t>1个非能源调查评价区</w:t>
      </w:r>
      <w:r>
        <w:rPr>
          <w:rFonts w:hint="eastAsia" w:ascii="Times New Roman" w:eastAsia="仿宋_GB2312"/>
          <w:sz w:val="32"/>
          <w:szCs w:val="32"/>
        </w:rPr>
        <w:t>，</w:t>
      </w:r>
      <w:r>
        <w:rPr>
          <w:rFonts w:ascii="Times New Roman" w:eastAsia="仿宋_GB2312"/>
          <w:sz w:val="32"/>
          <w:szCs w:val="32"/>
        </w:rPr>
        <w:t>通过优先设置出让探矿权，引导商业性矿产资源勘查，促进社会资</w:t>
      </w:r>
      <w:r>
        <w:rPr>
          <w:rFonts w:hint="eastAsia" w:ascii="Times New Roman" w:eastAsia="仿宋_GB2312"/>
          <w:sz w:val="32"/>
          <w:szCs w:val="32"/>
        </w:rPr>
        <w:t>金</w:t>
      </w:r>
      <w:r>
        <w:rPr>
          <w:rFonts w:ascii="Times New Roman" w:eastAsia="仿宋_GB2312"/>
          <w:sz w:val="32"/>
          <w:szCs w:val="32"/>
        </w:rPr>
        <w:t>投入。</w:t>
      </w:r>
    </w:p>
    <w:tbl>
      <w:tblPr>
        <w:tblStyle w:val="10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2"/>
        <w:gridCol w:w="2144"/>
        <w:gridCol w:w="1848"/>
        <w:gridCol w:w="1576"/>
        <w:gridCol w:w="1431"/>
        <w:gridCol w:w="13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6" w:hRule="atLeast"/>
          <w:jc w:val="center"/>
        </w:trPr>
        <w:tc>
          <w:tcPr>
            <w:tcW w:w="5000" w:type="pct"/>
            <w:gridSpan w:val="6"/>
            <w:vAlign w:val="center"/>
          </w:tcPr>
          <w:p>
            <w:pPr>
              <w:tabs>
                <w:tab w:val="left" w:pos="1896"/>
              </w:tabs>
              <w:spacing w:line="240" w:lineRule="auto"/>
              <w:rPr>
                <w:rFonts w:ascii="Times New Roman"/>
                <w:b/>
                <w:bCs/>
                <w:sz w:val="24"/>
              </w:rPr>
            </w:pPr>
            <w:r>
              <w:rPr>
                <w:rFonts w:ascii="Times New Roman" w:eastAsia="仿宋_GB2312"/>
                <w:b/>
                <w:bCs/>
                <w:sz w:val="21"/>
                <w:szCs w:val="21"/>
              </w:rPr>
              <w:t>专栏12                                                     重点勘查区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3"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序号</w:t>
            </w:r>
          </w:p>
        </w:tc>
        <w:tc>
          <w:tcPr>
            <w:tcW w:w="1183"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名称</w:t>
            </w:r>
          </w:p>
        </w:tc>
        <w:tc>
          <w:tcPr>
            <w:tcW w:w="1020"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行政范围</w:t>
            </w:r>
          </w:p>
        </w:tc>
        <w:tc>
          <w:tcPr>
            <w:tcW w:w="870"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面积（</w:t>
            </w:r>
            <w:r>
              <w:rPr>
                <w:rFonts w:hint="eastAsia" w:ascii="Times New Roman" w:eastAsia="仿宋_GB2312"/>
                <w:bCs/>
                <w:sz w:val="21"/>
                <w:szCs w:val="21"/>
              </w:rPr>
              <w:t>k</w:t>
            </w:r>
            <w:r>
              <w:rPr>
                <w:rFonts w:ascii="Times New Roman" w:eastAsia="仿宋_GB2312"/>
                <w:bCs/>
                <w:sz w:val="21"/>
                <w:szCs w:val="21"/>
              </w:rPr>
              <w:t>m</w:t>
            </w:r>
            <w:r>
              <w:rPr>
                <w:rFonts w:ascii="Times New Roman" w:eastAsia="仿宋_GB2312"/>
                <w:bCs/>
                <w:sz w:val="21"/>
                <w:szCs w:val="21"/>
                <w:vertAlign w:val="superscript"/>
              </w:rPr>
              <w:t>2</w:t>
            </w:r>
            <w:r>
              <w:rPr>
                <w:rFonts w:ascii="Times New Roman" w:eastAsia="仿宋_GB2312"/>
                <w:bCs/>
                <w:sz w:val="21"/>
                <w:szCs w:val="21"/>
              </w:rPr>
              <w:t>）</w:t>
            </w:r>
          </w:p>
        </w:tc>
        <w:tc>
          <w:tcPr>
            <w:tcW w:w="790"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主要矿种</w:t>
            </w:r>
          </w:p>
        </w:tc>
        <w:tc>
          <w:tcPr>
            <w:tcW w:w="744"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3" w:type="pct"/>
            <w:vAlign w:val="center"/>
          </w:tcPr>
          <w:p>
            <w:pPr>
              <w:spacing w:line="240" w:lineRule="auto"/>
              <w:jc w:val="center"/>
              <w:rPr>
                <w:rFonts w:ascii="Times New Roman" w:eastAsia="仿宋_GB2312"/>
                <w:sz w:val="21"/>
                <w:szCs w:val="21"/>
              </w:rPr>
            </w:pPr>
            <w:r>
              <w:rPr>
                <w:rFonts w:ascii="Times New Roman" w:eastAsia="仿宋_GB2312"/>
                <w:sz w:val="21"/>
                <w:szCs w:val="21"/>
              </w:rPr>
              <w:t>1</w:t>
            </w:r>
          </w:p>
        </w:tc>
        <w:tc>
          <w:tcPr>
            <w:tcW w:w="1183"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伊宁阿希金矿重点勘查区</w:t>
            </w:r>
          </w:p>
        </w:tc>
        <w:tc>
          <w:tcPr>
            <w:tcW w:w="102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伊宁县</w:t>
            </w:r>
          </w:p>
        </w:tc>
        <w:tc>
          <w:tcPr>
            <w:tcW w:w="870" w:type="pct"/>
            <w:vAlign w:val="center"/>
          </w:tcPr>
          <w:p>
            <w:pPr>
              <w:spacing w:line="240" w:lineRule="auto"/>
              <w:jc w:val="center"/>
              <w:rPr>
                <w:rFonts w:ascii="Times New Roman" w:eastAsia="仿宋_GB2312"/>
                <w:sz w:val="21"/>
                <w:szCs w:val="21"/>
              </w:rPr>
            </w:pPr>
            <w:r>
              <w:rPr>
                <w:rFonts w:ascii="Times New Roman" w:eastAsia="仿宋_GB2312"/>
                <w:sz w:val="21"/>
                <w:szCs w:val="21"/>
              </w:rPr>
              <w:t>175.40</w:t>
            </w:r>
          </w:p>
        </w:tc>
        <w:tc>
          <w:tcPr>
            <w:tcW w:w="79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金</w:t>
            </w:r>
          </w:p>
        </w:tc>
        <w:tc>
          <w:tcPr>
            <w:tcW w:w="744"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93" w:type="pct"/>
            <w:vAlign w:val="center"/>
          </w:tcPr>
          <w:p>
            <w:pPr>
              <w:spacing w:line="240" w:lineRule="auto"/>
              <w:jc w:val="center"/>
              <w:rPr>
                <w:rFonts w:ascii="Times New Roman" w:eastAsia="仿宋_GB2312"/>
                <w:sz w:val="21"/>
                <w:szCs w:val="21"/>
              </w:rPr>
            </w:pPr>
            <w:r>
              <w:rPr>
                <w:rFonts w:ascii="Times New Roman" w:eastAsia="仿宋_GB2312"/>
                <w:sz w:val="21"/>
                <w:szCs w:val="21"/>
              </w:rPr>
              <w:t>2</w:t>
            </w:r>
          </w:p>
        </w:tc>
        <w:tc>
          <w:tcPr>
            <w:tcW w:w="1183" w:type="pct"/>
            <w:vAlign w:val="center"/>
          </w:tcPr>
          <w:p>
            <w:pPr>
              <w:spacing w:line="240" w:lineRule="auto"/>
              <w:jc w:val="center"/>
              <w:rPr>
                <w:rFonts w:ascii="Times New Roman" w:eastAsia="仿宋_GB2312"/>
                <w:sz w:val="21"/>
                <w:szCs w:val="21"/>
              </w:rPr>
            </w:pPr>
            <w:r>
              <w:rPr>
                <w:rFonts w:ascii="Times New Roman" w:eastAsia="仿宋_GB2312"/>
                <w:sz w:val="21"/>
                <w:szCs w:val="21"/>
              </w:rPr>
              <w:t>伊宁县-尼勒克</w:t>
            </w:r>
            <w:r>
              <w:rPr>
                <w:rFonts w:hint="eastAsia" w:ascii="Times New Roman" w:eastAsia="仿宋_GB2312"/>
                <w:sz w:val="21"/>
                <w:szCs w:val="21"/>
              </w:rPr>
              <w:t>硅质材料</w:t>
            </w:r>
            <w:r>
              <w:rPr>
                <w:rFonts w:ascii="Times New Roman" w:eastAsia="仿宋_GB2312"/>
                <w:sz w:val="21"/>
                <w:szCs w:val="21"/>
              </w:rPr>
              <w:t>、玄武岩等非金属</w:t>
            </w:r>
            <w:r>
              <w:rPr>
                <w:rFonts w:hint="eastAsia" w:ascii="Times New Roman" w:eastAsia="仿宋_GB2312"/>
                <w:sz w:val="21"/>
                <w:szCs w:val="21"/>
              </w:rPr>
              <w:t>重点勘查区</w:t>
            </w:r>
          </w:p>
        </w:tc>
        <w:tc>
          <w:tcPr>
            <w:tcW w:w="1020" w:type="pct"/>
            <w:vAlign w:val="center"/>
          </w:tcPr>
          <w:p>
            <w:pPr>
              <w:spacing w:line="240" w:lineRule="auto"/>
              <w:jc w:val="center"/>
              <w:rPr>
                <w:rFonts w:ascii="Times New Roman" w:eastAsia="仿宋_GB2312"/>
                <w:sz w:val="21"/>
                <w:szCs w:val="21"/>
              </w:rPr>
            </w:pPr>
            <w:r>
              <w:rPr>
                <w:rFonts w:ascii="Times New Roman" w:eastAsia="仿宋_GB2312"/>
                <w:sz w:val="21"/>
                <w:szCs w:val="21"/>
              </w:rPr>
              <w:t>伊宁县、尼勒克县</w:t>
            </w:r>
          </w:p>
        </w:tc>
        <w:tc>
          <w:tcPr>
            <w:tcW w:w="870" w:type="pct"/>
            <w:vAlign w:val="center"/>
          </w:tcPr>
          <w:p>
            <w:pPr>
              <w:spacing w:line="240" w:lineRule="auto"/>
              <w:jc w:val="center"/>
              <w:rPr>
                <w:rFonts w:ascii="Times New Roman" w:eastAsia="仿宋_GB2312"/>
                <w:sz w:val="21"/>
                <w:szCs w:val="21"/>
              </w:rPr>
            </w:pPr>
            <w:r>
              <w:rPr>
                <w:rFonts w:ascii="Times New Roman" w:eastAsia="仿宋_GB2312"/>
                <w:sz w:val="21"/>
                <w:szCs w:val="21"/>
              </w:rPr>
              <w:t>753.20</w:t>
            </w:r>
          </w:p>
        </w:tc>
        <w:tc>
          <w:tcPr>
            <w:tcW w:w="79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硅质原料</w:t>
            </w:r>
            <w:r>
              <w:rPr>
                <w:rFonts w:ascii="Times New Roman" w:eastAsia="仿宋_GB2312"/>
                <w:sz w:val="21"/>
                <w:szCs w:val="21"/>
              </w:rPr>
              <w:t>、玄武岩</w:t>
            </w:r>
          </w:p>
        </w:tc>
        <w:tc>
          <w:tcPr>
            <w:tcW w:w="744" w:type="pct"/>
            <w:vAlign w:val="center"/>
          </w:tcPr>
          <w:p>
            <w:pPr>
              <w:spacing w:line="240" w:lineRule="auto"/>
              <w:jc w:val="center"/>
              <w:rPr>
                <w:rFonts w:ascii="Times New Roman" w:eastAsia="仿宋_GB2312"/>
                <w:sz w:val="21"/>
                <w:szCs w:val="21"/>
              </w:rPr>
            </w:pPr>
            <w:r>
              <w:rPr>
                <w:rFonts w:ascii="Times New Roman" w:eastAsia="仿宋_GB2312"/>
                <w:sz w:val="21"/>
                <w:szCs w:val="21"/>
              </w:rPr>
              <w:t>落实</w:t>
            </w:r>
            <w:r>
              <w:rPr>
                <w:rFonts w:hint="eastAsia" w:ascii="Times New Roman" w:eastAsia="仿宋_GB2312"/>
                <w:sz w:val="21"/>
                <w:szCs w:val="21"/>
              </w:rPr>
              <w:t>伊犁州</w:t>
            </w:r>
            <w:r>
              <w:rPr>
                <w:rFonts w:ascii="Times New Roman" w:eastAsia="仿宋_GB2312"/>
                <w:sz w:val="21"/>
                <w:szCs w:val="21"/>
              </w:rPr>
              <w:t>规划</w:t>
            </w:r>
          </w:p>
        </w:tc>
      </w:tr>
    </w:tbl>
    <w:p>
      <w:pPr>
        <w:spacing w:line="560" w:lineRule="exact"/>
        <w:ind w:firstLine="659" w:firstLineChars="200"/>
        <w:rPr>
          <w:rFonts w:ascii="Times New Roman" w:eastAsia="仿宋_GB2312"/>
          <w:sz w:val="32"/>
          <w:szCs w:val="32"/>
        </w:rPr>
      </w:pPr>
      <w:bookmarkStart w:id="33" w:name="_Toc13423"/>
      <w:r>
        <w:rPr>
          <w:rFonts w:ascii="Times New Roman" w:eastAsia="仿宋_GB2312"/>
          <w:b/>
          <w:sz w:val="32"/>
          <w:szCs w:val="32"/>
        </w:rPr>
        <w:t>重点开采区</w:t>
      </w:r>
      <w:bookmarkEnd w:id="33"/>
      <w:r>
        <w:rPr>
          <w:rFonts w:ascii="Times New Roman" w:eastAsia="仿宋_GB2312"/>
          <w:b/>
          <w:sz w:val="32"/>
          <w:szCs w:val="32"/>
        </w:rPr>
        <w:t>。</w:t>
      </w:r>
      <w:r>
        <w:rPr>
          <w:rFonts w:ascii="Times New Roman" w:eastAsia="仿宋_GB2312"/>
          <w:sz w:val="32"/>
          <w:szCs w:val="32"/>
        </w:rPr>
        <w:t>在全面落实上级规划的基础上，部署3个重点开采区。重点开采</w:t>
      </w:r>
      <w:r>
        <w:rPr>
          <w:rFonts w:hint="eastAsia" w:ascii="Times New Roman" w:eastAsia="仿宋_GB2312"/>
          <w:sz w:val="32"/>
          <w:szCs w:val="32"/>
        </w:rPr>
        <w:t>区</w:t>
      </w:r>
      <w:r>
        <w:rPr>
          <w:rFonts w:ascii="Times New Roman" w:eastAsia="仿宋_GB2312"/>
          <w:sz w:val="32"/>
          <w:szCs w:val="32"/>
        </w:rPr>
        <w:t>内新建矿山必须符合国家、自治区、</w:t>
      </w:r>
      <w:r>
        <w:rPr>
          <w:rFonts w:hint="eastAsia" w:ascii="Times New Roman" w:eastAsia="仿宋_GB2312"/>
          <w:sz w:val="32"/>
          <w:szCs w:val="32"/>
        </w:rPr>
        <w:t>伊犁州</w:t>
      </w:r>
      <w:r>
        <w:rPr>
          <w:rFonts w:ascii="Times New Roman" w:eastAsia="仿宋_GB2312"/>
          <w:sz w:val="32"/>
          <w:szCs w:val="32"/>
        </w:rPr>
        <w:t>产业政策和规划，达到国家、自治区有关矿山企业准入条件；矿山采矿规模不低于本规划确定的矿山最低开采规模，矿山占有矿石资源储量与矿山开采规模及矿山服务年限相匹配，具备与矿山开采规模相配套的人才、资金、技术和管理资质条件。统筹安排重点开采区内的矿产资源勘查开发活动，争取国家相关优惠政策，引导和支持各类生产要素聚集，加强矿产资源整合开发力度，优化布局和矿山企业结构，促进规模开采和集约利用。</w:t>
      </w:r>
    </w:p>
    <w:tbl>
      <w:tblPr>
        <w:tblStyle w:val="107"/>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10"/>
        <w:gridCol w:w="3475"/>
        <w:gridCol w:w="1665"/>
        <w:gridCol w:w="1857"/>
        <w:gridCol w:w="13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5000" w:type="pct"/>
            <w:gridSpan w:val="5"/>
            <w:vAlign w:val="center"/>
          </w:tcPr>
          <w:p>
            <w:pPr>
              <w:tabs>
                <w:tab w:val="left" w:pos="1896"/>
              </w:tabs>
              <w:spacing w:line="240" w:lineRule="auto"/>
              <w:rPr>
                <w:rFonts w:ascii="Times New Roman"/>
                <w:b/>
                <w:bCs/>
                <w:color w:val="000000" w:themeColor="text1"/>
                <w:sz w:val="21"/>
                <w:szCs w:val="21"/>
                <w14:textFill>
                  <w14:solidFill>
                    <w14:schemeClr w14:val="tx1"/>
                  </w14:solidFill>
                </w14:textFill>
              </w:rPr>
            </w:pPr>
            <w:r>
              <w:rPr>
                <w:rFonts w:ascii="Times New Roman" w:eastAsia="仿宋_GB2312"/>
                <w:b/>
                <w:bCs/>
                <w:sz w:val="21"/>
                <w:szCs w:val="21"/>
              </w:rPr>
              <w:t>专栏13                                                         重点开采区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392"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序号</w:t>
            </w:r>
          </w:p>
        </w:tc>
        <w:tc>
          <w:tcPr>
            <w:tcW w:w="1918"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名称</w:t>
            </w:r>
          </w:p>
        </w:tc>
        <w:tc>
          <w:tcPr>
            <w:tcW w:w="919"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面积（</w:t>
            </w:r>
            <w:r>
              <w:rPr>
                <w:rFonts w:hint="eastAsia" w:ascii="Times New Roman" w:eastAsia="仿宋_GB2312"/>
                <w:bCs/>
                <w:sz w:val="21"/>
                <w:szCs w:val="21"/>
              </w:rPr>
              <w:t>k</w:t>
            </w:r>
            <w:r>
              <w:rPr>
                <w:rFonts w:ascii="Times New Roman" w:eastAsia="仿宋_GB2312"/>
                <w:bCs/>
                <w:sz w:val="21"/>
                <w:szCs w:val="21"/>
              </w:rPr>
              <w:t>m</w:t>
            </w:r>
            <w:r>
              <w:rPr>
                <w:rFonts w:ascii="Times New Roman" w:eastAsia="仿宋_GB2312"/>
                <w:bCs/>
                <w:sz w:val="21"/>
                <w:szCs w:val="21"/>
                <w:vertAlign w:val="superscript"/>
              </w:rPr>
              <w:t>2</w:t>
            </w:r>
            <w:r>
              <w:rPr>
                <w:rFonts w:ascii="Times New Roman" w:eastAsia="仿宋_GB2312"/>
                <w:bCs/>
                <w:sz w:val="21"/>
                <w:szCs w:val="21"/>
              </w:rPr>
              <w:t>）</w:t>
            </w:r>
          </w:p>
        </w:tc>
        <w:tc>
          <w:tcPr>
            <w:tcW w:w="1025" w:type="pct"/>
            <w:vAlign w:val="center"/>
          </w:tcPr>
          <w:p>
            <w:pPr>
              <w:tabs>
                <w:tab w:val="left" w:pos="1896"/>
              </w:tabs>
              <w:spacing w:line="240" w:lineRule="auto"/>
              <w:jc w:val="center"/>
              <w:rPr>
                <w:rFonts w:ascii="Times New Roman" w:eastAsia="仿宋_GB2312"/>
                <w:bCs/>
                <w:sz w:val="21"/>
                <w:szCs w:val="21"/>
              </w:rPr>
            </w:pPr>
            <w:r>
              <w:rPr>
                <w:rFonts w:ascii="Times New Roman" w:eastAsia="仿宋_GB2312"/>
                <w:bCs/>
                <w:sz w:val="21"/>
                <w:szCs w:val="21"/>
              </w:rPr>
              <w:t>矿种</w:t>
            </w:r>
          </w:p>
        </w:tc>
        <w:tc>
          <w:tcPr>
            <w:tcW w:w="746" w:type="pct"/>
            <w:vAlign w:val="center"/>
          </w:tcPr>
          <w:p>
            <w:pPr>
              <w:tabs>
                <w:tab w:val="left" w:pos="1896"/>
              </w:tabs>
              <w:spacing w:line="240" w:lineRule="auto"/>
              <w:jc w:val="center"/>
              <w:rPr>
                <w:rFonts w:ascii="Times New Roman" w:eastAsia="仿宋_GB2312"/>
                <w:bCs/>
                <w:sz w:val="21"/>
                <w:szCs w:val="21"/>
              </w:rPr>
            </w:pPr>
            <w:r>
              <w:rPr>
                <w:rFonts w:hint="eastAsia" w:ascii="Times New Roman" w:eastAsia="仿宋_GB2312"/>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392" w:type="pct"/>
            <w:vAlign w:val="center"/>
          </w:tcPr>
          <w:p>
            <w:pPr>
              <w:spacing w:before="38" w:beforeLines="10" w:after="38" w:afterLines="10" w:line="240" w:lineRule="auto"/>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1</w:t>
            </w:r>
          </w:p>
        </w:tc>
        <w:tc>
          <w:tcPr>
            <w:tcW w:w="1918" w:type="pct"/>
            <w:vAlign w:val="center"/>
          </w:tcPr>
          <w:p>
            <w:pPr>
              <w:spacing w:line="240" w:lineRule="auto"/>
              <w:jc w:val="center"/>
              <w:rPr>
                <w:rFonts w:ascii="Times New Roman" w:eastAsia="仿宋_GB2312"/>
                <w:sz w:val="21"/>
                <w:szCs w:val="21"/>
              </w:rPr>
            </w:pPr>
            <w:r>
              <w:rPr>
                <w:rFonts w:ascii="Times New Roman" w:eastAsia="仿宋_GB2312"/>
                <w:sz w:val="21"/>
                <w:szCs w:val="21"/>
              </w:rPr>
              <w:t>伊宁煤炭重点开采区</w:t>
            </w:r>
          </w:p>
        </w:tc>
        <w:tc>
          <w:tcPr>
            <w:tcW w:w="919" w:type="pct"/>
            <w:vAlign w:val="center"/>
          </w:tcPr>
          <w:p>
            <w:pPr>
              <w:spacing w:line="240" w:lineRule="auto"/>
              <w:jc w:val="center"/>
              <w:rPr>
                <w:rFonts w:ascii="Times New Roman" w:eastAsia="仿宋_GB2312"/>
                <w:sz w:val="21"/>
                <w:szCs w:val="21"/>
              </w:rPr>
            </w:pPr>
            <w:r>
              <w:rPr>
                <w:rFonts w:ascii="Times New Roman" w:eastAsia="仿宋_GB2312"/>
                <w:sz w:val="21"/>
                <w:szCs w:val="21"/>
              </w:rPr>
              <w:t>154.90</w:t>
            </w:r>
          </w:p>
        </w:tc>
        <w:tc>
          <w:tcPr>
            <w:tcW w:w="1025" w:type="pct"/>
            <w:vAlign w:val="center"/>
          </w:tcPr>
          <w:p>
            <w:pPr>
              <w:spacing w:line="240" w:lineRule="auto"/>
              <w:jc w:val="center"/>
              <w:rPr>
                <w:rFonts w:ascii="Times New Roman" w:eastAsia="仿宋_GB2312"/>
                <w:sz w:val="21"/>
                <w:szCs w:val="21"/>
              </w:rPr>
            </w:pPr>
            <w:r>
              <w:rPr>
                <w:rFonts w:ascii="Times New Roman" w:eastAsia="仿宋_GB2312"/>
                <w:sz w:val="21"/>
                <w:szCs w:val="21"/>
              </w:rPr>
              <w:t>煤炭</w:t>
            </w:r>
          </w:p>
        </w:tc>
        <w:tc>
          <w:tcPr>
            <w:tcW w:w="746" w:type="pct"/>
            <w:vAlign w:val="center"/>
          </w:tcPr>
          <w:p>
            <w:pPr>
              <w:spacing w:line="240" w:lineRule="auto"/>
              <w:jc w:val="center"/>
              <w:rPr>
                <w:rFonts w:ascii="Times New Roman" w:eastAsia="仿宋_GB2312"/>
                <w:sz w:val="21"/>
                <w:szCs w:val="21"/>
              </w:rPr>
            </w:pPr>
            <w:r>
              <w:rPr>
                <w:rFonts w:ascii="Times New Roman" w:eastAsia="仿宋_GB2312"/>
                <w:sz w:val="21"/>
                <w:szCs w:val="21"/>
              </w:rPr>
              <w:t>落实自治区规划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392" w:type="pct"/>
            <w:vAlign w:val="center"/>
          </w:tcPr>
          <w:p>
            <w:pPr>
              <w:spacing w:before="38" w:beforeLines="10" w:after="38" w:afterLines="10" w:line="240" w:lineRule="auto"/>
              <w:jc w:val="center"/>
              <w:rPr>
                <w:rFonts w:ascii="Times New Roman"/>
                <w:color w:val="000000" w:themeColor="text1"/>
                <w:sz w:val="21"/>
                <w:szCs w:val="21"/>
                <w14:textFill>
                  <w14:solidFill>
                    <w14:schemeClr w14:val="tx1"/>
                  </w14:solidFill>
                </w14:textFill>
              </w:rPr>
            </w:pPr>
            <w:r>
              <w:rPr>
                <w:rFonts w:ascii="Times New Roman"/>
                <w:color w:val="000000" w:themeColor="text1"/>
                <w:sz w:val="21"/>
                <w:szCs w:val="21"/>
                <w14:textFill>
                  <w14:solidFill>
                    <w14:schemeClr w14:val="tx1"/>
                  </w14:solidFill>
                </w14:textFill>
              </w:rPr>
              <w:t>2</w:t>
            </w:r>
          </w:p>
        </w:tc>
        <w:tc>
          <w:tcPr>
            <w:tcW w:w="1918" w:type="pct"/>
            <w:vAlign w:val="center"/>
          </w:tcPr>
          <w:p>
            <w:pPr>
              <w:spacing w:line="240" w:lineRule="auto"/>
              <w:jc w:val="center"/>
              <w:rPr>
                <w:rFonts w:ascii="Times New Roman" w:eastAsia="仿宋_GB2312"/>
                <w:sz w:val="21"/>
                <w:szCs w:val="21"/>
              </w:rPr>
            </w:pPr>
            <w:r>
              <w:rPr>
                <w:rFonts w:ascii="Times New Roman" w:eastAsia="仿宋_GB2312"/>
                <w:sz w:val="21"/>
                <w:szCs w:val="21"/>
              </w:rPr>
              <w:t>阿希-奥依曼金矿重点开采区</w:t>
            </w:r>
          </w:p>
        </w:tc>
        <w:tc>
          <w:tcPr>
            <w:tcW w:w="919" w:type="pct"/>
            <w:vAlign w:val="center"/>
          </w:tcPr>
          <w:p>
            <w:pPr>
              <w:spacing w:line="240" w:lineRule="auto"/>
              <w:jc w:val="center"/>
              <w:rPr>
                <w:rFonts w:ascii="Times New Roman" w:eastAsia="仿宋_GB2312"/>
                <w:sz w:val="21"/>
                <w:szCs w:val="21"/>
              </w:rPr>
            </w:pPr>
            <w:r>
              <w:rPr>
                <w:rFonts w:ascii="Times New Roman" w:eastAsia="仿宋_GB2312"/>
                <w:sz w:val="21"/>
                <w:szCs w:val="21"/>
              </w:rPr>
              <w:t>565.30</w:t>
            </w:r>
          </w:p>
        </w:tc>
        <w:tc>
          <w:tcPr>
            <w:tcW w:w="1025" w:type="pct"/>
            <w:vAlign w:val="center"/>
          </w:tcPr>
          <w:p>
            <w:pPr>
              <w:spacing w:line="240" w:lineRule="auto"/>
              <w:jc w:val="center"/>
              <w:rPr>
                <w:rFonts w:ascii="Times New Roman" w:eastAsia="仿宋_GB2312"/>
                <w:sz w:val="21"/>
                <w:szCs w:val="21"/>
              </w:rPr>
            </w:pPr>
            <w:r>
              <w:rPr>
                <w:rFonts w:ascii="Times New Roman" w:eastAsia="仿宋_GB2312"/>
                <w:sz w:val="21"/>
                <w:szCs w:val="21"/>
              </w:rPr>
              <w:t>金</w:t>
            </w:r>
          </w:p>
        </w:tc>
        <w:tc>
          <w:tcPr>
            <w:tcW w:w="746" w:type="pct"/>
            <w:vAlign w:val="center"/>
          </w:tcPr>
          <w:p>
            <w:pPr>
              <w:spacing w:line="240" w:lineRule="auto"/>
              <w:jc w:val="center"/>
              <w:rPr>
                <w:rFonts w:ascii="Times New Roman" w:eastAsia="仿宋_GB2312"/>
                <w:sz w:val="21"/>
                <w:szCs w:val="21"/>
              </w:rPr>
            </w:pPr>
            <w:r>
              <w:rPr>
                <w:rFonts w:ascii="Times New Roman" w:eastAsia="仿宋_GB2312"/>
                <w:sz w:val="21"/>
                <w:szCs w:val="21"/>
              </w:rPr>
              <w:t>落实自治区规划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 w:hRule="atLeast"/>
          <w:jc w:val="center"/>
        </w:trPr>
        <w:tc>
          <w:tcPr>
            <w:tcW w:w="392" w:type="pct"/>
            <w:vAlign w:val="center"/>
          </w:tcPr>
          <w:p>
            <w:pPr>
              <w:spacing w:before="38" w:beforeLines="10" w:after="38" w:afterLines="10" w:line="240" w:lineRule="auto"/>
              <w:jc w:val="center"/>
              <w:rPr>
                <w:rFonts w:ascii="Times New Roman"/>
                <w:color w:val="000000" w:themeColor="text1"/>
                <w:sz w:val="21"/>
                <w:szCs w:val="21"/>
                <w14:textFill>
                  <w14:solidFill>
                    <w14:schemeClr w14:val="tx1"/>
                  </w14:solidFill>
                </w14:textFill>
              </w:rPr>
            </w:pPr>
            <w:r>
              <w:rPr>
                <w:rFonts w:hint="eastAsia" w:ascii="Times New Roman"/>
                <w:color w:val="000000" w:themeColor="text1"/>
                <w:sz w:val="21"/>
                <w:szCs w:val="21"/>
                <w14:textFill>
                  <w14:solidFill>
                    <w14:schemeClr w14:val="tx1"/>
                  </w14:solidFill>
                </w14:textFill>
              </w:rPr>
              <w:t>3</w:t>
            </w:r>
          </w:p>
        </w:tc>
        <w:tc>
          <w:tcPr>
            <w:tcW w:w="1918" w:type="pct"/>
            <w:vAlign w:val="center"/>
          </w:tcPr>
          <w:p>
            <w:pPr>
              <w:spacing w:line="240" w:lineRule="auto"/>
              <w:jc w:val="center"/>
              <w:rPr>
                <w:rFonts w:ascii="Times New Roman" w:eastAsia="仿宋_GB2312"/>
                <w:sz w:val="21"/>
                <w:szCs w:val="21"/>
              </w:rPr>
            </w:pPr>
            <w:r>
              <w:rPr>
                <w:rFonts w:ascii="Times New Roman" w:eastAsia="仿宋_GB2312"/>
                <w:sz w:val="21"/>
                <w:szCs w:val="21"/>
              </w:rPr>
              <w:t>伊宁县-尼勒克石英岩、玄武岩等非金属重点开采区</w:t>
            </w:r>
          </w:p>
        </w:tc>
        <w:tc>
          <w:tcPr>
            <w:tcW w:w="919"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3</w:t>
            </w:r>
            <w:r>
              <w:rPr>
                <w:rFonts w:ascii="Times New Roman" w:eastAsia="仿宋_GB2312"/>
                <w:sz w:val="21"/>
                <w:szCs w:val="21"/>
              </w:rPr>
              <w:t>39.40</w:t>
            </w:r>
          </w:p>
        </w:tc>
        <w:tc>
          <w:tcPr>
            <w:tcW w:w="1025" w:type="pct"/>
            <w:vAlign w:val="center"/>
          </w:tcPr>
          <w:p>
            <w:pPr>
              <w:spacing w:line="240" w:lineRule="auto"/>
              <w:jc w:val="center"/>
              <w:rPr>
                <w:rFonts w:ascii="Times New Roman" w:eastAsia="仿宋_GB2312"/>
                <w:sz w:val="21"/>
                <w:szCs w:val="21"/>
              </w:rPr>
            </w:pPr>
            <w:r>
              <w:rPr>
                <w:rFonts w:ascii="Times New Roman" w:eastAsia="仿宋_GB2312"/>
                <w:sz w:val="21"/>
                <w:szCs w:val="21"/>
              </w:rPr>
              <w:t>石英岩、玄武岩</w:t>
            </w:r>
          </w:p>
        </w:tc>
        <w:tc>
          <w:tcPr>
            <w:tcW w:w="746" w:type="pct"/>
            <w:vAlign w:val="center"/>
          </w:tcPr>
          <w:p>
            <w:pPr>
              <w:spacing w:line="240" w:lineRule="auto"/>
              <w:jc w:val="center"/>
              <w:rPr>
                <w:rFonts w:ascii="Times New Roman" w:eastAsia="仿宋_GB2312"/>
                <w:sz w:val="21"/>
                <w:szCs w:val="21"/>
              </w:rPr>
            </w:pPr>
            <w:r>
              <w:rPr>
                <w:rFonts w:ascii="Times New Roman" w:eastAsia="仿宋_GB2312"/>
                <w:sz w:val="21"/>
                <w:szCs w:val="21"/>
              </w:rPr>
              <w:t>落实</w:t>
            </w:r>
            <w:r>
              <w:rPr>
                <w:rFonts w:hint="eastAsia" w:ascii="Times New Roman" w:eastAsia="仿宋_GB2312"/>
                <w:sz w:val="21"/>
                <w:szCs w:val="21"/>
              </w:rPr>
              <w:t>伊犁州</w:t>
            </w:r>
            <w:r>
              <w:rPr>
                <w:rFonts w:ascii="Times New Roman" w:eastAsia="仿宋_GB2312"/>
                <w:sz w:val="21"/>
                <w:szCs w:val="21"/>
              </w:rPr>
              <w:t>规划</w:t>
            </w:r>
          </w:p>
        </w:tc>
      </w:tr>
    </w:tbl>
    <w:p>
      <w:pPr>
        <w:spacing w:line="560" w:lineRule="exact"/>
        <w:ind w:firstLine="659" w:firstLineChars="200"/>
        <w:rPr>
          <w:rFonts w:ascii="Times New Roman" w:eastAsia="仿宋_GB2312"/>
          <w:sz w:val="32"/>
          <w:szCs w:val="32"/>
        </w:rPr>
      </w:pPr>
      <w:bookmarkStart w:id="34" w:name="_Toc8947"/>
      <w:r>
        <w:rPr>
          <w:rFonts w:ascii="Times New Roman" w:eastAsia="仿宋_GB2312"/>
          <w:b/>
          <w:sz w:val="32"/>
          <w:szCs w:val="32"/>
        </w:rPr>
        <w:t>勘查规划区块。</w:t>
      </w:r>
      <w:bookmarkStart w:id="35" w:name="OLE_LINK4"/>
      <w:bookmarkStart w:id="36" w:name="OLE_LINK5"/>
      <w:r>
        <w:rPr>
          <w:rFonts w:hint="eastAsia" w:ascii="Times New Roman" w:eastAsia="仿宋_GB2312"/>
          <w:sz w:val="32"/>
          <w:szCs w:val="32"/>
        </w:rPr>
        <w:t>本轮在已设探矿权</w:t>
      </w:r>
      <w:r>
        <w:rPr>
          <w:rFonts w:ascii="Times New Roman" w:eastAsia="仿宋_GB2312"/>
          <w:sz w:val="32"/>
          <w:szCs w:val="32"/>
        </w:rPr>
        <w:t>20</w:t>
      </w:r>
      <w:r>
        <w:rPr>
          <w:rFonts w:hint="eastAsia" w:ascii="Times New Roman" w:eastAsia="仿宋_GB2312"/>
          <w:sz w:val="32"/>
          <w:szCs w:val="32"/>
        </w:rPr>
        <w:t>个的基础上，在规划空白区新设置勘查规划区块</w:t>
      </w:r>
      <w:r>
        <w:rPr>
          <w:rFonts w:ascii="Times New Roman" w:eastAsia="仿宋_GB2312"/>
          <w:sz w:val="32"/>
          <w:szCs w:val="32"/>
        </w:rPr>
        <w:t>19</w:t>
      </w:r>
      <w:r>
        <w:rPr>
          <w:rFonts w:hint="eastAsia" w:ascii="Times New Roman" w:eastAsia="仿宋_GB2312"/>
          <w:sz w:val="32"/>
          <w:szCs w:val="32"/>
        </w:rPr>
        <w:t>个，其中在国家规划矿区（伊宁煤矿区北区）设置</w:t>
      </w:r>
      <w:r>
        <w:rPr>
          <w:rFonts w:ascii="Times New Roman" w:eastAsia="仿宋_GB2312"/>
          <w:sz w:val="32"/>
          <w:szCs w:val="32"/>
        </w:rPr>
        <w:t>3</w:t>
      </w:r>
      <w:r>
        <w:rPr>
          <w:rFonts w:hint="eastAsia" w:ascii="Times New Roman" w:eastAsia="仿宋_GB2312"/>
          <w:sz w:val="32"/>
          <w:szCs w:val="32"/>
        </w:rPr>
        <w:t>个煤矿勘查规划区块；落实自治区规划在空白区设置1个铜矿勘查区块；落实伊犁州规划在空白区设置的勘查规划区块</w:t>
      </w:r>
      <w:r>
        <w:rPr>
          <w:rFonts w:ascii="Times New Roman" w:eastAsia="仿宋_GB2312"/>
          <w:sz w:val="32"/>
          <w:szCs w:val="32"/>
        </w:rPr>
        <w:t>4</w:t>
      </w:r>
      <w:r>
        <w:rPr>
          <w:rFonts w:hint="eastAsia" w:ascii="Times New Roman" w:eastAsia="仿宋_GB2312"/>
          <w:sz w:val="32"/>
          <w:szCs w:val="32"/>
        </w:rPr>
        <w:t>个，其中凝灰岩</w:t>
      </w:r>
      <w:r>
        <w:rPr>
          <w:rFonts w:ascii="Times New Roman" w:eastAsia="仿宋_GB2312"/>
          <w:sz w:val="32"/>
          <w:szCs w:val="32"/>
        </w:rPr>
        <w:t>1</w:t>
      </w:r>
      <w:r>
        <w:rPr>
          <w:rFonts w:hint="eastAsia" w:ascii="Times New Roman" w:eastAsia="仿宋_GB2312"/>
          <w:sz w:val="32"/>
          <w:szCs w:val="32"/>
        </w:rPr>
        <w:t>个，石英岩</w:t>
      </w:r>
      <w:r>
        <w:rPr>
          <w:rFonts w:ascii="Times New Roman" w:eastAsia="仿宋_GB2312"/>
          <w:sz w:val="32"/>
          <w:szCs w:val="32"/>
        </w:rPr>
        <w:t>3</w:t>
      </w:r>
      <w:r>
        <w:rPr>
          <w:rFonts w:hint="eastAsia" w:ascii="Times New Roman" w:eastAsia="仿宋_GB2312"/>
          <w:sz w:val="32"/>
          <w:szCs w:val="32"/>
        </w:rPr>
        <w:t>个。按上级规划的年度计划，有序投放，精准出让。</w:t>
      </w:r>
      <w:bookmarkEnd w:id="35"/>
      <w:bookmarkEnd w:id="36"/>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7"/>
        <w:gridCol w:w="4206"/>
        <w:gridCol w:w="991"/>
        <w:gridCol w:w="1190"/>
        <w:gridCol w:w="783"/>
        <w:gridCol w:w="1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tabs>
                <w:tab w:val="left" w:pos="1896"/>
              </w:tabs>
              <w:spacing w:line="240" w:lineRule="auto"/>
              <w:rPr>
                <w:sz w:val="18"/>
                <w:szCs w:val="18"/>
              </w:rPr>
            </w:pPr>
            <w:r>
              <w:rPr>
                <w:rFonts w:hint="eastAsia" w:ascii="Times New Roman" w:eastAsia="仿宋_GB2312"/>
                <w:b/>
                <w:bCs/>
                <w:sz w:val="21"/>
                <w:szCs w:val="21"/>
              </w:rPr>
              <w:t>专栏</w:t>
            </w:r>
            <w:r>
              <w:rPr>
                <w:rFonts w:ascii="Times New Roman" w:eastAsia="仿宋_GB2312"/>
                <w:b/>
                <w:bCs/>
                <w:sz w:val="21"/>
                <w:szCs w:val="21"/>
              </w:rPr>
              <w:t xml:space="preserve">14                                                      </w:t>
            </w:r>
            <w:r>
              <w:rPr>
                <w:rFonts w:hint="eastAsia" w:ascii="Times New Roman" w:eastAsia="仿宋_GB2312"/>
                <w:b/>
                <w:bCs/>
                <w:sz w:val="21"/>
                <w:szCs w:val="21"/>
              </w:rPr>
              <w:t>勘查规划区块设置情况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序号</w:t>
            </w:r>
          </w:p>
        </w:tc>
        <w:tc>
          <w:tcPr>
            <w:tcW w:w="2321"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规划区</w:t>
            </w:r>
            <w:r>
              <w:rPr>
                <w:rFonts w:ascii="Times New Roman" w:eastAsia="仿宋_GB2312"/>
                <w:sz w:val="21"/>
                <w:szCs w:val="21"/>
              </w:rPr>
              <w:t>名称</w:t>
            </w:r>
          </w:p>
        </w:tc>
        <w:tc>
          <w:tcPr>
            <w:tcW w:w="547"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矿种</w:t>
            </w:r>
          </w:p>
        </w:tc>
        <w:tc>
          <w:tcPr>
            <w:tcW w:w="657"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面积</w:t>
            </w:r>
          </w:p>
          <w:p>
            <w:pPr>
              <w:spacing w:line="240" w:lineRule="auto"/>
              <w:jc w:val="center"/>
              <w:rPr>
                <w:rFonts w:ascii="Times New Roman" w:eastAsia="仿宋_GB2312"/>
                <w:sz w:val="21"/>
                <w:szCs w:val="21"/>
              </w:rPr>
            </w:pPr>
            <w:r>
              <w:rPr>
                <w:rFonts w:hint="eastAsia" w:ascii="Times New Roman" w:eastAsia="仿宋_GB2312"/>
                <w:sz w:val="21"/>
                <w:szCs w:val="21"/>
              </w:rPr>
              <w:t>（平方千米）</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投放</w:t>
            </w:r>
          </w:p>
          <w:p>
            <w:pPr>
              <w:spacing w:line="240" w:lineRule="auto"/>
              <w:jc w:val="center"/>
              <w:rPr>
                <w:rFonts w:ascii="Times New Roman" w:eastAsia="仿宋_GB2312"/>
                <w:sz w:val="21"/>
                <w:szCs w:val="21"/>
              </w:rPr>
            </w:pPr>
            <w:r>
              <w:rPr>
                <w:rFonts w:hint="eastAsia" w:ascii="Times New Roman" w:eastAsia="仿宋_GB2312"/>
                <w:sz w:val="21"/>
                <w:szCs w:val="21"/>
              </w:rPr>
              <w:t>时序</w:t>
            </w:r>
          </w:p>
        </w:tc>
        <w:tc>
          <w:tcPr>
            <w:tcW w:w="720"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1</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伊宁矿区北区九号井田勘查后备区</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煤炭</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12.24</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720" w:type="pct"/>
          </w:tcPr>
          <w:p>
            <w:pPr>
              <w:spacing w:line="240" w:lineRule="auto"/>
              <w:jc w:val="center"/>
              <w:rPr>
                <w:rFonts w:ascii="Times New Roman" w:eastAsia="仿宋_GB2312"/>
                <w:sz w:val="21"/>
                <w:szCs w:val="21"/>
              </w:rPr>
            </w:pPr>
            <w:r>
              <w:rPr>
                <w:rFonts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2</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伊宁矿区北区二号远景勘查区</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煤炭</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11.86</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720" w:type="pct"/>
          </w:tcPr>
          <w:p>
            <w:pPr>
              <w:spacing w:line="240" w:lineRule="auto"/>
              <w:jc w:val="center"/>
              <w:rPr>
                <w:rFonts w:ascii="Times New Roman" w:eastAsia="仿宋_GB2312"/>
                <w:sz w:val="21"/>
                <w:szCs w:val="21"/>
              </w:rPr>
            </w:pPr>
            <w:r>
              <w:rPr>
                <w:rFonts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3</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伊宁矿区北区五号井田勘查后备区</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煤炭</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3.56</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720" w:type="pct"/>
          </w:tcPr>
          <w:p>
            <w:pPr>
              <w:spacing w:line="240" w:lineRule="auto"/>
              <w:jc w:val="center"/>
              <w:rPr>
                <w:rFonts w:ascii="Times New Roman" w:eastAsia="仿宋_GB2312"/>
                <w:sz w:val="21"/>
                <w:szCs w:val="21"/>
              </w:rPr>
            </w:pPr>
            <w:r>
              <w:rPr>
                <w:rFonts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4</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新疆伊宁县金山外围金矿普查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金矿</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79.18</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5</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新疆伊宁县吉尔格朗东铜金矿区普查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金矿</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2.89</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6</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新疆伊宁县-尼勒克县包尔斯一带库姆多区铜矿普查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铜矿</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8.70</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022</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7</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新疆伊宁县穷布拉克巴斯铜多金属矿普查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铜矿</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23.18</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8</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新疆伊宁县阿乌利亚乡1号石英岩矿普查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石英岩</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2.98</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落实伊犁州规划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9</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新疆伊宁县阿乌利亚乡2号石英岩矿普查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石英岩</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3.64</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落实伊犁州规划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10</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新疆伊宁县阿乌利亚乡3号石英岩矿普查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石英岩</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2.89</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落实伊犁州规划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11</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新疆伊宁县阿乌利亚乡1号凝灰岩矿普查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凝灰岩</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12.07</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落实伊犁州规划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12</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新疆伊宁县苏勒萨依沟石膏矿普查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石膏</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18.25</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13</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新疆伊宁县阿夏阔拉凝灰岩普查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凝灰岩</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2.97</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14</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新疆伊宁县喀拉亚尕奇乡上奥依曼布拉克村1号</w:t>
            </w:r>
            <w:r>
              <w:rPr>
                <w:rFonts w:hint="eastAsia" w:ascii="Times New Roman" w:eastAsia="仿宋_GB2312"/>
                <w:sz w:val="21"/>
                <w:szCs w:val="21"/>
              </w:rPr>
              <w:t>石灰岩</w:t>
            </w:r>
            <w:r>
              <w:rPr>
                <w:rFonts w:ascii="Times New Roman" w:eastAsia="仿宋_GB2312"/>
                <w:sz w:val="21"/>
                <w:szCs w:val="21"/>
              </w:rPr>
              <w:t>矿普查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石灰岩</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2.97</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15</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新疆伊宁县阿乌利亚乡克孜勒布拉克村1号砂岩矿普查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砂岩</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2.84</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16</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新疆伊宁县阿乌利亚乡安山岩普查</w:t>
            </w:r>
          </w:p>
        </w:tc>
        <w:tc>
          <w:tcPr>
            <w:tcW w:w="547" w:type="pct"/>
            <w:vAlign w:val="center"/>
          </w:tcPr>
          <w:p>
            <w:pPr>
              <w:spacing w:line="240" w:lineRule="auto"/>
              <w:jc w:val="center"/>
              <w:rPr>
                <w:rFonts w:ascii="Times New Roman" w:eastAsia="仿宋_GB2312"/>
                <w:sz w:val="21"/>
                <w:szCs w:val="21"/>
              </w:rPr>
            </w:pPr>
            <w:r>
              <w:rPr>
                <w:rFonts w:ascii="Times New Roman" w:eastAsia="仿宋_GB2312"/>
                <w:sz w:val="21"/>
                <w:szCs w:val="21"/>
              </w:rPr>
              <w:t>建筑用安山岩</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3.64</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17</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新疆伊宁县喀拉亚尕奇乡1号陶</w:t>
            </w:r>
            <w:r>
              <w:rPr>
                <w:rFonts w:hint="eastAsia" w:ascii="Times New Roman" w:eastAsia="仿宋_GB2312"/>
                <w:sz w:val="21"/>
                <w:szCs w:val="21"/>
              </w:rPr>
              <w:t>瓷</w:t>
            </w:r>
            <w:r>
              <w:rPr>
                <w:rFonts w:ascii="Times New Roman" w:eastAsia="仿宋_GB2312"/>
                <w:sz w:val="21"/>
                <w:szCs w:val="21"/>
              </w:rPr>
              <w:t>土普查</w:t>
            </w:r>
          </w:p>
        </w:tc>
        <w:tc>
          <w:tcPr>
            <w:tcW w:w="547"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陶瓷土</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2.64</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18</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新疆伊宁县喀拉亚尕奇乡2号陶</w:t>
            </w:r>
            <w:r>
              <w:rPr>
                <w:rFonts w:hint="eastAsia" w:ascii="Times New Roman" w:eastAsia="仿宋_GB2312"/>
                <w:sz w:val="21"/>
                <w:szCs w:val="21"/>
              </w:rPr>
              <w:t>瓷</w:t>
            </w:r>
            <w:r>
              <w:rPr>
                <w:rFonts w:ascii="Times New Roman" w:eastAsia="仿宋_GB2312"/>
                <w:sz w:val="21"/>
                <w:szCs w:val="21"/>
              </w:rPr>
              <w:t>土普查</w:t>
            </w:r>
          </w:p>
        </w:tc>
        <w:tc>
          <w:tcPr>
            <w:tcW w:w="547"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陶瓷土</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3.97</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4" w:type="pct"/>
            <w:vAlign w:val="center"/>
          </w:tcPr>
          <w:p>
            <w:pPr>
              <w:spacing w:line="240" w:lineRule="auto"/>
              <w:jc w:val="center"/>
              <w:rPr>
                <w:rFonts w:ascii="Times New Roman" w:eastAsia="仿宋_GB2312"/>
                <w:sz w:val="21"/>
                <w:szCs w:val="21"/>
              </w:rPr>
            </w:pPr>
            <w:r>
              <w:rPr>
                <w:rFonts w:ascii="Times New Roman" w:eastAsia="仿宋_GB2312"/>
                <w:sz w:val="21"/>
                <w:szCs w:val="21"/>
              </w:rPr>
              <w:t>19</w:t>
            </w:r>
          </w:p>
        </w:tc>
        <w:tc>
          <w:tcPr>
            <w:tcW w:w="2321" w:type="pct"/>
            <w:vAlign w:val="center"/>
          </w:tcPr>
          <w:p>
            <w:pPr>
              <w:spacing w:line="240" w:lineRule="auto"/>
              <w:jc w:val="center"/>
              <w:rPr>
                <w:rFonts w:ascii="Times New Roman" w:eastAsia="仿宋_GB2312"/>
                <w:sz w:val="21"/>
                <w:szCs w:val="21"/>
              </w:rPr>
            </w:pPr>
            <w:r>
              <w:rPr>
                <w:rFonts w:ascii="Times New Roman" w:eastAsia="仿宋_GB2312"/>
                <w:sz w:val="21"/>
                <w:szCs w:val="21"/>
              </w:rPr>
              <w:t>新疆伊宁县喀拉亚尕奇乡3号陶</w:t>
            </w:r>
            <w:r>
              <w:rPr>
                <w:rFonts w:hint="eastAsia" w:ascii="Times New Roman" w:eastAsia="仿宋_GB2312"/>
                <w:sz w:val="21"/>
                <w:szCs w:val="21"/>
              </w:rPr>
              <w:t>瓷</w:t>
            </w:r>
            <w:r>
              <w:rPr>
                <w:rFonts w:ascii="Times New Roman" w:eastAsia="仿宋_GB2312"/>
                <w:sz w:val="21"/>
                <w:szCs w:val="21"/>
              </w:rPr>
              <w:t>土普查</w:t>
            </w:r>
          </w:p>
        </w:tc>
        <w:tc>
          <w:tcPr>
            <w:tcW w:w="547"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陶瓷土</w:t>
            </w:r>
          </w:p>
        </w:tc>
        <w:tc>
          <w:tcPr>
            <w:tcW w:w="657" w:type="pct"/>
            <w:vAlign w:val="center"/>
          </w:tcPr>
          <w:p>
            <w:pPr>
              <w:spacing w:line="240" w:lineRule="auto"/>
              <w:jc w:val="center"/>
              <w:rPr>
                <w:rFonts w:ascii="Times New Roman" w:eastAsia="仿宋_GB2312"/>
                <w:sz w:val="21"/>
                <w:szCs w:val="21"/>
              </w:rPr>
            </w:pPr>
            <w:r>
              <w:rPr>
                <w:rFonts w:ascii="Times New Roman" w:eastAsia="仿宋_GB2312"/>
                <w:sz w:val="21"/>
                <w:szCs w:val="21"/>
              </w:rPr>
              <w:t>4.95</w:t>
            </w:r>
          </w:p>
        </w:tc>
        <w:tc>
          <w:tcPr>
            <w:tcW w:w="432" w:type="pct"/>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720" w:type="pct"/>
            <w:vAlign w:val="center"/>
          </w:tcPr>
          <w:p>
            <w:pPr>
              <w:spacing w:line="240" w:lineRule="auto"/>
              <w:jc w:val="center"/>
              <w:rPr>
                <w:rFonts w:ascii="Times New Roman" w:eastAsia="仿宋_GB2312"/>
                <w:sz w:val="21"/>
                <w:szCs w:val="21"/>
              </w:rPr>
            </w:pPr>
            <w:r>
              <w:rPr>
                <w:rFonts w:ascii="Times New Roman" w:eastAsia="仿宋_GB2312"/>
                <w:sz w:val="21"/>
                <w:szCs w:val="21"/>
              </w:rPr>
              <w:t>空白区新设</w:t>
            </w:r>
          </w:p>
        </w:tc>
      </w:tr>
    </w:tbl>
    <w:p>
      <w:pPr>
        <w:spacing w:line="560" w:lineRule="exact"/>
        <w:ind w:firstLine="659" w:firstLineChars="200"/>
        <w:rPr>
          <w:rFonts w:ascii="Times New Roman"/>
          <w:color w:val="000000" w:themeColor="text1"/>
          <w:sz w:val="32"/>
          <w:szCs w:val="32"/>
          <w14:textFill>
            <w14:solidFill>
              <w14:schemeClr w14:val="tx1"/>
            </w14:solidFill>
          </w14:textFill>
        </w:rPr>
      </w:pPr>
      <w:r>
        <w:rPr>
          <w:rFonts w:ascii="Times New Roman" w:eastAsia="仿宋_GB2312"/>
          <w:b/>
          <w:sz w:val="32"/>
          <w:szCs w:val="32"/>
        </w:rPr>
        <w:t>开采规划区块。</w:t>
      </w:r>
      <w:r>
        <w:rPr>
          <w:rFonts w:hint="eastAsia" w:ascii="Times New Roman" w:eastAsia="仿宋_GB2312"/>
          <w:sz w:val="32"/>
          <w:szCs w:val="32"/>
        </w:rPr>
        <w:t>本轮规划在已设采矿权</w:t>
      </w:r>
      <w:r>
        <w:rPr>
          <w:rFonts w:ascii="Times New Roman" w:eastAsia="仿宋_GB2312"/>
          <w:sz w:val="32"/>
          <w:szCs w:val="32"/>
        </w:rPr>
        <w:t>47</w:t>
      </w:r>
      <w:r>
        <w:rPr>
          <w:rFonts w:hint="eastAsia" w:ascii="Times New Roman" w:eastAsia="仿宋_GB2312"/>
          <w:sz w:val="32"/>
          <w:szCs w:val="32"/>
        </w:rPr>
        <w:t>个的基础上，在空白区新设置开采规划区块</w:t>
      </w:r>
      <w:r>
        <w:rPr>
          <w:rFonts w:ascii="Times New Roman" w:eastAsia="仿宋_GB2312"/>
          <w:sz w:val="32"/>
          <w:szCs w:val="32"/>
        </w:rPr>
        <w:t>23</w:t>
      </w:r>
      <w:r>
        <w:rPr>
          <w:rFonts w:hint="eastAsia" w:ascii="Times New Roman" w:eastAsia="仿宋_GB2312"/>
          <w:sz w:val="32"/>
          <w:szCs w:val="32"/>
        </w:rPr>
        <w:t>个，在国家规划矿区（伊宁煤矿区北区）新设置开采规划区块</w:t>
      </w:r>
      <w:r>
        <w:rPr>
          <w:rFonts w:ascii="Times New Roman" w:eastAsia="仿宋_GB2312"/>
          <w:sz w:val="32"/>
          <w:szCs w:val="32"/>
        </w:rPr>
        <w:t>7</w:t>
      </w:r>
      <w:r>
        <w:rPr>
          <w:rFonts w:hint="eastAsia" w:ascii="Times New Roman" w:eastAsia="仿宋_GB2312"/>
          <w:sz w:val="32"/>
          <w:szCs w:val="32"/>
        </w:rPr>
        <w:t>个，均为煤矿。根据社会经济发展需要和重大项目建设，在空白区设置砖瓦用页岩、砂石粘土类开采规划区块</w:t>
      </w:r>
      <w:r>
        <w:rPr>
          <w:rFonts w:ascii="Times New Roman" w:eastAsia="仿宋_GB2312"/>
          <w:sz w:val="32"/>
          <w:szCs w:val="32"/>
        </w:rPr>
        <w:t>16</w:t>
      </w:r>
      <w:r>
        <w:rPr>
          <w:rFonts w:hint="eastAsia" w:ascii="Times New Roman" w:eastAsia="仿宋_GB2312"/>
          <w:sz w:val="32"/>
          <w:szCs w:val="32"/>
        </w:rPr>
        <w:t>个，拟在十四五期间投放。</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4"/>
        <w:gridCol w:w="4011"/>
        <w:gridCol w:w="1082"/>
        <w:gridCol w:w="993"/>
        <w:gridCol w:w="972"/>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6"/>
          </w:tcPr>
          <w:p>
            <w:pPr>
              <w:spacing w:line="240" w:lineRule="auto"/>
              <w:rPr>
                <w:rFonts w:ascii="Times New Roman" w:eastAsia="仿宋_GB2312"/>
                <w:sz w:val="21"/>
                <w:szCs w:val="21"/>
              </w:rPr>
            </w:pPr>
            <w:r>
              <w:rPr>
                <w:rFonts w:hint="eastAsia" w:ascii="Times New Roman" w:eastAsia="仿宋_GB2312"/>
                <w:b/>
                <w:bCs/>
                <w:sz w:val="21"/>
                <w:szCs w:val="21"/>
              </w:rPr>
              <w:t>专栏1</w:t>
            </w:r>
            <w:r>
              <w:rPr>
                <w:rFonts w:ascii="Times New Roman" w:eastAsia="仿宋_GB2312"/>
                <w:b/>
                <w:bCs/>
                <w:sz w:val="21"/>
                <w:szCs w:val="21"/>
              </w:rPr>
              <w:t xml:space="preserve">5                                                </w:t>
            </w:r>
            <w:r>
              <w:rPr>
                <w:rFonts w:hint="eastAsia" w:ascii="Times New Roman" w:eastAsia="仿宋_GB2312"/>
                <w:b/>
                <w:bCs/>
                <w:sz w:val="21"/>
                <w:szCs w:val="21"/>
              </w:rPr>
              <w:t>开采规划区块设置情况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sz w:val="18"/>
                <w:szCs w:val="18"/>
              </w:rPr>
            </w:pPr>
            <w:r>
              <w:rPr>
                <w:rFonts w:hint="eastAsia" w:ascii="Times New Roman" w:eastAsia="仿宋_GB2312"/>
                <w:sz w:val="21"/>
                <w:szCs w:val="21"/>
              </w:rPr>
              <w:t>序号</w:t>
            </w:r>
          </w:p>
        </w:tc>
        <w:tc>
          <w:tcPr>
            <w:tcW w:w="0" w:type="auto"/>
            <w:vAlign w:val="center"/>
          </w:tcPr>
          <w:p>
            <w:pPr>
              <w:spacing w:line="240" w:lineRule="auto"/>
              <w:jc w:val="center"/>
              <w:rPr>
                <w:sz w:val="18"/>
                <w:szCs w:val="18"/>
              </w:rPr>
            </w:pPr>
            <w:r>
              <w:rPr>
                <w:rFonts w:hint="eastAsia" w:ascii="Times New Roman" w:eastAsia="仿宋_GB2312"/>
                <w:sz w:val="21"/>
                <w:szCs w:val="21"/>
              </w:rPr>
              <w:t>规划区</w:t>
            </w:r>
            <w:r>
              <w:rPr>
                <w:rFonts w:ascii="Times New Roman" w:eastAsia="仿宋_GB2312"/>
                <w:sz w:val="21"/>
                <w:szCs w:val="21"/>
              </w:rPr>
              <w:t>名称</w:t>
            </w:r>
          </w:p>
        </w:tc>
        <w:tc>
          <w:tcPr>
            <w:tcW w:w="0" w:type="auto"/>
            <w:vAlign w:val="center"/>
          </w:tcPr>
          <w:p>
            <w:pPr>
              <w:spacing w:line="240" w:lineRule="auto"/>
              <w:jc w:val="center"/>
              <w:rPr>
                <w:sz w:val="18"/>
                <w:szCs w:val="18"/>
              </w:rPr>
            </w:pPr>
            <w:r>
              <w:rPr>
                <w:rFonts w:hint="eastAsia" w:ascii="仿宋" w:hAnsi="仿宋"/>
                <w:sz w:val="21"/>
                <w:szCs w:val="21"/>
              </w:rPr>
              <w:t>矿种</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面积</w:t>
            </w:r>
          </w:p>
          <w:p>
            <w:pPr>
              <w:spacing w:line="240" w:lineRule="auto"/>
              <w:jc w:val="center"/>
              <w:rPr>
                <w:sz w:val="18"/>
                <w:szCs w:val="18"/>
              </w:rPr>
            </w:pPr>
            <w:r>
              <w:rPr>
                <w:rFonts w:ascii="Times New Roman" w:eastAsia="仿宋_GB2312"/>
                <w:sz w:val="21"/>
                <w:szCs w:val="21"/>
              </w:rPr>
              <w:t>（</w:t>
            </w:r>
            <w:r>
              <w:rPr>
                <w:rFonts w:hint="eastAsia" w:ascii="Times New Roman" w:eastAsia="仿宋_GB2312"/>
                <w:sz w:val="21"/>
                <w:szCs w:val="21"/>
              </w:rPr>
              <w:t>k</w:t>
            </w:r>
            <w:r>
              <w:rPr>
                <w:rFonts w:ascii="Times New Roman" w:eastAsia="仿宋_GB2312"/>
                <w:sz w:val="21"/>
                <w:szCs w:val="21"/>
              </w:rPr>
              <w:t>m</w:t>
            </w:r>
            <w:r>
              <w:rPr>
                <w:rFonts w:ascii="Times New Roman" w:eastAsia="仿宋_GB2312"/>
                <w:sz w:val="21"/>
                <w:szCs w:val="21"/>
                <w:vertAlign w:val="superscript"/>
              </w:rPr>
              <w:t>2</w:t>
            </w:r>
            <w:r>
              <w:rPr>
                <w:rFonts w:ascii="Times New Roman" w:eastAsia="仿宋_GB2312"/>
                <w:sz w:val="21"/>
                <w:szCs w:val="21"/>
              </w:rPr>
              <w:t>）</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投放时序</w:t>
            </w:r>
          </w:p>
        </w:tc>
        <w:tc>
          <w:tcPr>
            <w:tcW w:w="0" w:type="auto"/>
            <w:vAlign w:val="center"/>
          </w:tcPr>
          <w:p>
            <w:pPr>
              <w:spacing w:line="240" w:lineRule="auto"/>
              <w:jc w:val="center"/>
              <w:rPr>
                <w:sz w:val="18"/>
                <w:szCs w:val="18"/>
              </w:rPr>
            </w:pPr>
            <w:r>
              <w:rPr>
                <w:rFonts w:hint="eastAsia" w:ascii="Times New Roman" w:eastAsia="仿宋_GB2312"/>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伊犁伊宁矿区北区五号井田</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6.27</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伊犁伊宁矿区北区六号井田</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13.17</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 xml:space="preserve">河南煤化伊犁永宁井田                                                            </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1.8</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022</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4</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伊犁伊宁矿区北区七号井田</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29.57</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5</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伊犁伊宁矿区北区八号井田</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34.15</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6</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伊犁伊宁矿区北区一号井田</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6.95</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7</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伊犁伊宁矿区北区九号井田</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煤炭</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21.88</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025</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落实自治区规划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8</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新疆伊宁县喀拉亚尕奇乡上诺改图村</w:t>
            </w:r>
            <w:r>
              <w:rPr>
                <w:rFonts w:ascii="Times New Roman" w:eastAsia="仿宋_GB2312"/>
                <w:sz w:val="21"/>
                <w:szCs w:val="21"/>
              </w:rPr>
              <w:t>1</w:t>
            </w:r>
            <w:r>
              <w:rPr>
                <w:rFonts w:hint="eastAsia" w:ascii="Times New Roman" w:eastAsia="仿宋_GB2312"/>
                <w:sz w:val="21"/>
                <w:szCs w:val="21"/>
              </w:rPr>
              <w:t>号页岩矿</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砖瓦用页岩</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0.16</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9</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新疆伊宁县喀拉亚尕奇乡奥依曼布拉克村1号页岩矿</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砖瓦用页岩</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0.13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10</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新疆伊宁县喀拉亚尕奇乡阿克托别麻扎村1号页岩矿</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砖瓦用页岩</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0.1</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11</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新疆伊宁县喀什乡肖尔巴斯陶1号页岩矿</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砖瓦用页岩</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0.11</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12</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新疆伊宁县喀拉亚尕奇乡奥依曼布拉克村2号页岩矿</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砖瓦用页岩</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0.0</w:t>
            </w:r>
            <w:r>
              <w:rPr>
                <w:rFonts w:ascii="Times New Roman" w:eastAsia="仿宋_GB2312"/>
                <w:sz w:val="21"/>
                <w:szCs w:val="21"/>
              </w:rPr>
              <w:t>4</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新疆伊宁县喀拉亚尕奇乡奥依曼布拉克村</w:t>
            </w:r>
            <w:r>
              <w:rPr>
                <w:rFonts w:ascii="Times New Roman" w:eastAsia="仿宋_GB2312"/>
                <w:sz w:val="21"/>
                <w:szCs w:val="21"/>
              </w:rPr>
              <w:t>3</w:t>
            </w:r>
            <w:r>
              <w:rPr>
                <w:rFonts w:hint="eastAsia" w:ascii="Times New Roman" w:eastAsia="仿宋_GB2312"/>
                <w:sz w:val="21"/>
                <w:szCs w:val="21"/>
              </w:rPr>
              <w:t>号页岩矿</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砖瓦用页岩</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w:t>
            </w:r>
            <w:r>
              <w:rPr>
                <w:rFonts w:ascii="Times New Roman" w:eastAsia="仿宋_GB2312"/>
                <w:sz w:val="21"/>
                <w:szCs w:val="21"/>
              </w:rPr>
              <w:t>.19</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14</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新疆伊宁县喀拉亚尕奇乡奥依曼布拉克村</w:t>
            </w:r>
            <w:r>
              <w:rPr>
                <w:rFonts w:ascii="Times New Roman" w:eastAsia="仿宋_GB2312"/>
                <w:sz w:val="21"/>
                <w:szCs w:val="21"/>
              </w:rPr>
              <w:t>4</w:t>
            </w:r>
            <w:r>
              <w:rPr>
                <w:rFonts w:hint="eastAsia" w:ascii="Times New Roman" w:eastAsia="仿宋_GB2312"/>
                <w:sz w:val="21"/>
                <w:szCs w:val="21"/>
              </w:rPr>
              <w:t>号页岩矿</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砖瓦用页岩</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w:t>
            </w:r>
            <w:r>
              <w:rPr>
                <w:rFonts w:ascii="Times New Roman" w:eastAsia="仿宋_GB2312"/>
                <w:sz w:val="21"/>
                <w:szCs w:val="21"/>
              </w:rPr>
              <w:t>.43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15</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新疆伊宁县喀拉亚尕奇乡奥依曼布拉克村</w:t>
            </w:r>
            <w:r>
              <w:rPr>
                <w:rFonts w:ascii="Times New Roman" w:eastAsia="仿宋_GB2312"/>
                <w:sz w:val="21"/>
                <w:szCs w:val="21"/>
              </w:rPr>
              <w:t>5</w:t>
            </w:r>
            <w:r>
              <w:rPr>
                <w:rFonts w:hint="eastAsia" w:ascii="Times New Roman" w:eastAsia="仿宋_GB2312"/>
                <w:sz w:val="21"/>
                <w:szCs w:val="21"/>
              </w:rPr>
              <w:t>号页岩矿</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砖瓦用页岩</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w:t>
            </w:r>
            <w:r>
              <w:rPr>
                <w:rFonts w:ascii="Times New Roman" w:eastAsia="仿宋_GB2312"/>
                <w:sz w:val="21"/>
                <w:szCs w:val="21"/>
              </w:rPr>
              <w:t>.76</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024</w:t>
            </w:r>
          </w:p>
        </w:tc>
        <w:tc>
          <w:tcPr>
            <w:tcW w:w="0" w:type="auto"/>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16</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新疆伊宁县1号取土场</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建筑用砂</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0.29</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铁路取土场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17</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新疆伊宁县2号取土场</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建筑用砂</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铁路取土场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18</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新疆伊宁县3号取土场</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建筑用砂</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0.17</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铁路取土场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19</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新疆伊宁县4号取土场</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建筑用砂</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铁路取土场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20</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新疆伊宁县5号取土场</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建筑用砂</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0.12</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铁路取土场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21</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新疆伊宁县6号取土场</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建筑用砂</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0.28</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铁路取土场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22</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新疆伊宁县喀什镇哈斯木村粘土矿</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砖瓦用粘土</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0.05</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新疆伊宁县伊东工业园粘土矿</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砖瓦用粘土</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0.05</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023</w:t>
            </w:r>
          </w:p>
        </w:tc>
        <w:tc>
          <w:tcPr>
            <w:tcW w:w="0" w:type="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空白区新设</w:t>
            </w:r>
          </w:p>
        </w:tc>
      </w:tr>
    </w:tbl>
    <w:p>
      <w:pPr>
        <w:spacing w:line="560" w:lineRule="exact"/>
        <w:ind w:firstLine="659" w:firstLineChars="200"/>
        <w:rPr>
          <w:rFonts w:ascii="Times New Roman" w:eastAsia="仿宋_GB2312"/>
          <w:sz w:val="32"/>
          <w:szCs w:val="32"/>
        </w:rPr>
      </w:pPr>
      <w:r>
        <w:rPr>
          <w:rFonts w:ascii="Times New Roman"/>
          <w:b/>
          <w:bCs/>
          <w:sz w:val="32"/>
        </w:rPr>
        <w:t>砂石粘土类矿产资源集中开采区</w:t>
      </w:r>
      <w:bookmarkEnd w:id="34"/>
      <w:r>
        <w:rPr>
          <w:rFonts w:ascii="Times New Roman"/>
          <w:b/>
          <w:bCs/>
          <w:sz w:val="32"/>
        </w:rPr>
        <w:t>。</w:t>
      </w:r>
      <w:r>
        <w:rPr>
          <w:rFonts w:ascii="Times New Roman"/>
          <w:sz w:val="32"/>
        </w:rPr>
        <w:t>“十四五”期间，伊宁县基础建设部署较多，</w:t>
      </w:r>
      <w:r>
        <w:rPr>
          <w:rFonts w:ascii="Times New Roman" w:eastAsia="仿宋_GB2312"/>
          <w:sz w:val="32"/>
          <w:szCs w:val="32"/>
        </w:rPr>
        <w:t>对砂石粘土类矿产资源的需求增大，为进一步规范矿产资源矿业权管理，通过科学调整，促进优势资源转换战略实施和矿业持续健康发展，提高矿产资源对经济社会可持续发展的保障能力，规划5个砂石粘土集中开采区。</w:t>
      </w:r>
    </w:p>
    <w:tbl>
      <w:tblPr>
        <w:tblStyle w:val="34"/>
        <w:tblW w:w="5000" w:type="pct"/>
        <w:tblInd w:w="0" w:type="dxa"/>
        <w:tblLayout w:type="autofit"/>
        <w:tblCellMar>
          <w:top w:w="0" w:type="dxa"/>
          <w:left w:w="108" w:type="dxa"/>
          <w:bottom w:w="0" w:type="dxa"/>
          <w:right w:w="108" w:type="dxa"/>
        </w:tblCellMar>
      </w:tblPr>
      <w:tblGrid>
        <w:gridCol w:w="504"/>
        <w:gridCol w:w="5104"/>
        <w:gridCol w:w="1464"/>
        <w:gridCol w:w="1988"/>
      </w:tblGrid>
      <w:tr>
        <w:tblPrEx>
          <w:tblCellMar>
            <w:top w:w="0" w:type="dxa"/>
            <w:left w:w="108" w:type="dxa"/>
            <w:bottom w:w="0" w:type="dxa"/>
            <w:right w:w="108" w:type="dxa"/>
          </w:tblCellMar>
        </w:tblPrEx>
        <w:trPr>
          <w:trHeight w:val="284" w:hRule="atLeast"/>
          <w:tblHeader/>
        </w:trPr>
        <w:tc>
          <w:tcPr>
            <w:tcW w:w="500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rPr>
                <w:rFonts w:ascii="Times New Roman"/>
                <w:b/>
                <w:snapToGrid/>
                <w:color w:val="000000"/>
                <w:spacing w:val="0"/>
                <w:sz w:val="21"/>
                <w:szCs w:val="21"/>
              </w:rPr>
            </w:pPr>
            <w:r>
              <w:rPr>
                <w:rFonts w:ascii="Times New Roman" w:eastAsia="仿宋_GB2312"/>
                <w:b/>
                <w:bCs/>
                <w:sz w:val="21"/>
                <w:szCs w:val="21"/>
              </w:rPr>
              <w:t xml:space="preserve">专栏16                                          砂石粘土类矿产集中开采区  </w:t>
            </w:r>
          </w:p>
        </w:tc>
      </w:tr>
      <w:tr>
        <w:tblPrEx>
          <w:tblCellMar>
            <w:top w:w="0" w:type="dxa"/>
            <w:left w:w="108" w:type="dxa"/>
            <w:bottom w:w="0" w:type="dxa"/>
            <w:right w:w="108" w:type="dxa"/>
          </w:tblCellMar>
        </w:tblPrEx>
        <w:trPr>
          <w:trHeight w:val="284" w:hRule="atLeast"/>
          <w:tblHeader/>
        </w:trPr>
        <w:tc>
          <w:tcPr>
            <w:tcW w:w="2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ascii="Times New Roman" w:eastAsia="仿宋_GB2312"/>
                <w:sz w:val="21"/>
                <w:szCs w:val="21"/>
              </w:rPr>
              <w:t>序号</w:t>
            </w:r>
          </w:p>
        </w:tc>
        <w:tc>
          <w:tcPr>
            <w:tcW w:w="2817"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ascii="Times New Roman" w:eastAsia="仿宋_GB2312"/>
                <w:sz w:val="21"/>
                <w:szCs w:val="21"/>
              </w:rPr>
              <w:t>名称</w:t>
            </w:r>
          </w:p>
        </w:tc>
        <w:tc>
          <w:tcPr>
            <w:tcW w:w="808"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ascii="Times New Roman" w:eastAsia="仿宋_GB2312"/>
                <w:sz w:val="21"/>
                <w:szCs w:val="21"/>
              </w:rPr>
              <w:t>面积（</w:t>
            </w:r>
            <w:r>
              <w:rPr>
                <w:rFonts w:hint="eastAsia" w:ascii="Times New Roman" w:eastAsia="仿宋_GB2312"/>
                <w:sz w:val="21"/>
                <w:szCs w:val="21"/>
              </w:rPr>
              <w:t>k</w:t>
            </w:r>
            <w:r>
              <w:rPr>
                <w:rFonts w:ascii="Times New Roman" w:eastAsia="仿宋_GB2312"/>
                <w:sz w:val="21"/>
                <w:szCs w:val="21"/>
              </w:rPr>
              <w:t>m</w:t>
            </w:r>
            <w:r>
              <w:rPr>
                <w:rFonts w:ascii="Times New Roman" w:eastAsia="仿宋_GB2312"/>
                <w:sz w:val="21"/>
                <w:szCs w:val="21"/>
                <w:vertAlign w:val="superscript"/>
              </w:rPr>
              <w:t>2</w:t>
            </w:r>
            <w:r>
              <w:rPr>
                <w:rFonts w:ascii="Times New Roman" w:eastAsia="仿宋_GB2312"/>
                <w:sz w:val="21"/>
                <w:szCs w:val="21"/>
              </w:rPr>
              <w:t>）</w:t>
            </w:r>
          </w:p>
        </w:tc>
        <w:tc>
          <w:tcPr>
            <w:tcW w:w="1097"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ascii="Times New Roman" w:eastAsia="仿宋_GB2312"/>
                <w:sz w:val="21"/>
                <w:szCs w:val="21"/>
              </w:rPr>
              <w:t>矿种</w:t>
            </w:r>
          </w:p>
        </w:tc>
      </w:tr>
      <w:tr>
        <w:tblPrEx>
          <w:tblCellMar>
            <w:top w:w="0" w:type="dxa"/>
            <w:left w:w="108" w:type="dxa"/>
            <w:bottom w:w="0" w:type="dxa"/>
            <w:right w:w="108" w:type="dxa"/>
          </w:tblCellMar>
        </w:tblPrEx>
        <w:trPr>
          <w:trHeight w:val="284" w:hRule="atLeast"/>
          <w:tblHeader/>
        </w:trPr>
        <w:tc>
          <w:tcPr>
            <w:tcW w:w="2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1</w:t>
            </w:r>
          </w:p>
        </w:tc>
        <w:tc>
          <w:tcPr>
            <w:tcW w:w="2817"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新疆伊宁县吐鲁番于孜乡砂石粘土集中开采区</w:t>
            </w:r>
          </w:p>
        </w:tc>
        <w:tc>
          <w:tcPr>
            <w:tcW w:w="808"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ascii="Times New Roman" w:eastAsia="仿宋_GB2312"/>
                <w:sz w:val="21"/>
                <w:szCs w:val="21"/>
              </w:rPr>
              <w:t>3.69</w:t>
            </w:r>
          </w:p>
        </w:tc>
        <w:tc>
          <w:tcPr>
            <w:tcW w:w="1097"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建筑用砂</w:t>
            </w:r>
          </w:p>
        </w:tc>
      </w:tr>
      <w:tr>
        <w:tblPrEx>
          <w:tblCellMar>
            <w:top w:w="0" w:type="dxa"/>
            <w:left w:w="108" w:type="dxa"/>
            <w:bottom w:w="0" w:type="dxa"/>
            <w:right w:w="108" w:type="dxa"/>
          </w:tblCellMar>
        </w:tblPrEx>
        <w:trPr>
          <w:trHeight w:val="284" w:hRule="atLeast"/>
          <w:tblHeader/>
        </w:trPr>
        <w:tc>
          <w:tcPr>
            <w:tcW w:w="2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p>
        </w:tc>
        <w:tc>
          <w:tcPr>
            <w:tcW w:w="2817"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新疆伊宁县吉里于孜镇砂石粘土集中开采区</w:t>
            </w:r>
          </w:p>
        </w:tc>
        <w:tc>
          <w:tcPr>
            <w:tcW w:w="808"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4</w:t>
            </w:r>
            <w:r>
              <w:rPr>
                <w:rFonts w:ascii="Times New Roman" w:eastAsia="仿宋_GB2312"/>
                <w:sz w:val="21"/>
                <w:szCs w:val="21"/>
              </w:rPr>
              <w:t>.35</w:t>
            </w:r>
          </w:p>
        </w:tc>
        <w:tc>
          <w:tcPr>
            <w:tcW w:w="1097" w:type="pct"/>
            <w:tcBorders>
              <w:top w:val="single" w:color="auto" w:sz="4" w:space="0"/>
              <w:left w:val="nil"/>
              <w:bottom w:val="single" w:color="auto" w:sz="4" w:space="0"/>
              <w:right w:val="single" w:color="auto" w:sz="4" w:space="0"/>
            </w:tcBorders>
            <w:shd w:val="clear" w:color="auto" w:fill="auto"/>
          </w:tcPr>
          <w:p>
            <w:pPr>
              <w:spacing w:line="240" w:lineRule="auto"/>
              <w:jc w:val="center"/>
              <w:rPr>
                <w:rFonts w:ascii="Times New Roman" w:eastAsia="仿宋_GB2312"/>
                <w:sz w:val="21"/>
                <w:szCs w:val="21"/>
              </w:rPr>
            </w:pPr>
            <w:r>
              <w:rPr>
                <w:rFonts w:hint="eastAsia" w:ascii="Times New Roman" w:eastAsia="仿宋_GB2312"/>
                <w:sz w:val="21"/>
                <w:szCs w:val="21"/>
              </w:rPr>
              <w:t>建筑用砂</w:t>
            </w:r>
          </w:p>
        </w:tc>
      </w:tr>
      <w:tr>
        <w:tblPrEx>
          <w:tblCellMar>
            <w:top w:w="0" w:type="dxa"/>
            <w:left w:w="108" w:type="dxa"/>
            <w:bottom w:w="0" w:type="dxa"/>
            <w:right w:w="108" w:type="dxa"/>
          </w:tblCellMar>
        </w:tblPrEx>
        <w:trPr>
          <w:trHeight w:val="284" w:hRule="atLeast"/>
          <w:tblHeader/>
        </w:trPr>
        <w:tc>
          <w:tcPr>
            <w:tcW w:w="2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3</w:t>
            </w:r>
          </w:p>
        </w:tc>
        <w:tc>
          <w:tcPr>
            <w:tcW w:w="2817"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新疆伊宁县阿乌利亚乡砂石粘土集中开采区</w:t>
            </w:r>
          </w:p>
        </w:tc>
        <w:tc>
          <w:tcPr>
            <w:tcW w:w="808"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ascii="Times New Roman" w:eastAsia="仿宋_GB2312"/>
                <w:sz w:val="21"/>
                <w:szCs w:val="21"/>
              </w:rPr>
              <w:t>1.72</w:t>
            </w:r>
          </w:p>
        </w:tc>
        <w:tc>
          <w:tcPr>
            <w:tcW w:w="1097" w:type="pct"/>
            <w:tcBorders>
              <w:top w:val="single" w:color="auto" w:sz="4" w:space="0"/>
              <w:left w:val="nil"/>
              <w:bottom w:val="single" w:color="auto" w:sz="4" w:space="0"/>
              <w:right w:val="single" w:color="auto" w:sz="4" w:space="0"/>
            </w:tcBorders>
            <w:shd w:val="clear" w:color="auto" w:fill="auto"/>
          </w:tcPr>
          <w:p>
            <w:pPr>
              <w:spacing w:line="240" w:lineRule="auto"/>
              <w:jc w:val="center"/>
              <w:rPr>
                <w:rFonts w:ascii="Times New Roman" w:eastAsia="仿宋_GB2312"/>
                <w:sz w:val="21"/>
                <w:szCs w:val="21"/>
              </w:rPr>
            </w:pPr>
            <w:r>
              <w:rPr>
                <w:rFonts w:hint="eastAsia" w:ascii="Times New Roman" w:eastAsia="仿宋_GB2312"/>
                <w:sz w:val="21"/>
                <w:szCs w:val="21"/>
              </w:rPr>
              <w:t>建筑用砂</w:t>
            </w:r>
          </w:p>
        </w:tc>
      </w:tr>
      <w:tr>
        <w:tblPrEx>
          <w:tblCellMar>
            <w:top w:w="0" w:type="dxa"/>
            <w:left w:w="108" w:type="dxa"/>
            <w:bottom w:w="0" w:type="dxa"/>
            <w:right w:w="108" w:type="dxa"/>
          </w:tblCellMar>
        </w:tblPrEx>
        <w:trPr>
          <w:trHeight w:val="284" w:hRule="atLeast"/>
          <w:tblHeader/>
        </w:trPr>
        <w:tc>
          <w:tcPr>
            <w:tcW w:w="278" w:type="pc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4</w:t>
            </w:r>
          </w:p>
        </w:tc>
        <w:tc>
          <w:tcPr>
            <w:tcW w:w="2817"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新疆伊宁县青年农场砂石粘土集中开采区</w:t>
            </w:r>
          </w:p>
        </w:tc>
        <w:tc>
          <w:tcPr>
            <w:tcW w:w="808" w:type="pct"/>
            <w:tcBorders>
              <w:top w:val="single" w:color="auto" w:sz="4" w:space="0"/>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2</w:t>
            </w:r>
            <w:r>
              <w:rPr>
                <w:rFonts w:ascii="Times New Roman" w:eastAsia="仿宋_GB2312"/>
                <w:sz w:val="21"/>
                <w:szCs w:val="21"/>
              </w:rPr>
              <w:t>.79</w:t>
            </w:r>
          </w:p>
        </w:tc>
        <w:tc>
          <w:tcPr>
            <w:tcW w:w="1097" w:type="pct"/>
            <w:tcBorders>
              <w:top w:val="single" w:color="auto" w:sz="4" w:space="0"/>
              <w:left w:val="nil"/>
              <w:bottom w:val="single" w:color="auto" w:sz="4" w:space="0"/>
              <w:right w:val="single" w:color="auto" w:sz="4" w:space="0"/>
            </w:tcBorders>
            <w:shd w:val="clear" w:color="auto" w:fill="auto"/>
          </w:tcPr>
          <w:p>
            <w:pPr>
              <w:spacing w:line="240" w:lineRule="auto"/>
              <w:jc w:val="center"/>
              <w:rPr>
                <w:rFonts w:ascii="Times New Roman" w:eastAsia="仿宋_GB2312"/>
                <w:sz w:val="21"/>
                <w:szCs w:val="21"/>
              </w:rPr>
            </w:pPr>
            <w:r>
              <w:rPr>
                <w:rFonts w:hint="eastAsia" w:ascii="Times New Roman" w:eastAsia="仿宋_GB2312"/>
                <w:sz w:val="21"/>
                <w:szCs w:val="21"/>
              </w:rPr>
              <w:t>建筑用砂</w:t>
            </w:r>
          </w:p>
        </w:tc>
      </w:tr>
      <w:tr>
        <w:tblPrEx>
          <w:tblCellMar>
            <w:top w:w="0" w:type="dxa"/>
            <w:left w:w="108" w:type="dxa"/>
            <w:bottom w:w="0" w:type="dxa"/>
            <w:right w:w="108" w:type="dxa"/>
          </w:tblCellMar>
        </w:tblPrEx>
        <w:trPr>
          <w:trHeight w:val="284" w:hRule="atLeast"/>
        </w:trPr>
        <w:tc>
          <w:tcPr>
            <w:tcW w:w="278" w:type="pct"/>
            <w:tcBorders>
              <w:top w:val="nil"/>
              <w:left w:val="single" w:color="auto" w:sz="4" w:space="0"/>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5</w:t>
            </w:r>
          </w:p>
        </w:tc>
        <w:tc>
          <w:tcPr>
            <w:tcW w:w="2817" w:type="pct"/>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hint="eastAsia" w:ascii="Times New Roman" w:eastAsia="仿宋_GB2312"/>
                <w:sz w:val="21"/>
                <w:szCs w:val="21"/>
              </w:rPr>
              <w:t>新疆伊宁县温亚尔乡砂石粘土集中开采区</w:t>
            </w:r>
          </w:p>
        </w:tc>
        <w:tc>
          <w:tcPr>
            <w:tcW w:w="808" w:type="pct"/>
            <w:tcBorders>
              <w:top w:val="nil"/>
              <w:left w:val="nil"/>
              <w:bottom w:val="single" w:color="auto" w:sz="4" w:space="0"/>
              <w:right w:val="single" w:color="auto" w:sz="4" w:space="0"/>
            </w:tcBorders>
            <w:shd w:val="clear" w:color="auto" w:fill="auto"/>
            <w:vAlign w:val="center"/>
          </w:tcPr>
          <w:p>
            <w:pPr>
              <w:spacing w:line="240" w:lineRule="auto"/>
              <w:jc w:val="center"/>
              <w:rPr>
                <w:rFonts w:ascii="Times New Roman" w:eastAsia="仿宋_GB2312"/>
                <w:sz w:val="21"/>
                <w:szCs w:val="21"/>
              </w:rPr>
            </w:pPr>
            <w:r>
              <w:rPr>
                <w:rFonts w:ascii="Times New Roman" w:eastAsia="仿宋_GB2312"/>
                <w:sz w:val="21"/>
                <w:szCs w:val="21"/>
              </w:rPr>
              <w:t>3.26</w:t>
            </w:r>
          </w:p>
        </w:tc>
        <w:tc>
          <w:tcPr>
            <w:tcW w:w="1097" w:type="pct"/>
            <w:tcBorders>
              <w:top w:val="nil"/>
              <w:left w:val="nil"/>
              <w:bottom w:val="single" w:color="auto" w:sz="4" w:space="0"/>
              <w:right w:val="single" w:color="auto" w:sz="4" w:space="0"/>
            </w:tcBorders>
            <w:shd w:val="clear" w:color="auto" w:fill="auto"/>
          </w:tcPr>
          <w:p>
            <w:pPr>
              <w:spacing w:line="240" w:lineRule="auto"/>
              <w:jc w:val="center"/>
              <w:rPr>
                <w:rFonts w:ascii="Times New Roman" w:eastAsia="仿宋_GB2312"/>
                <w:sz w:val="21"/>
                <w:szCs w:val="21"/>
              </w:rPr>
            </w:pPr>
            <w:r>
              <w:rPr>
                <w:rFonts w:hint="eastAsia" w:ascii="Times New Roman" w:eastAsia="仿宋_GB2312"/>
                <w:sz w:val="21"/>
                <w:szCs w:val="21"/>
              </w:rPr>
              <w:t>建筑用砂</w:t>
            </w:r>
          </w:p>
        </w:tc>
      </w:tr>
    </w:tbl>
    <w:p>
      <w:pPr>
        <w:spacing w:line="560" w:lineRule="exact"/>
        <w:ind w:firstLine="659" w:firstLineChars="200"/>
        <w:rPr>
          <w:rFonts w:ascii="Times New Roman" w:eastAsia="仿宋_GB2312"/>
          <w:sz w:val="32"/>
          <w:szCs w:val="32"/>
        </w:rPr>
      </w:pPr>
      <w:r>
        <w:rPr>
          <w:rFonts w:ascii="Times New Roman" w:eastAsia="仿宋_GB2312"/>
          <w:b/>
          <w:sz w:val="32"/>
          <w:szCs w:val="32"/>
        </w:rPr>
        <w:t>砂石粘土类采矿权投放总量。</w:t>
      </w:r>
      <w:r>
        <w:rPr>
          <w:rFonts w:ascii="Times New Roman" w:eastAsia="仿宋_GB2312"/>
          <w:sz w:val="32"/>
          <w:szCs w:val="32"/>
        </w:rPr>
        <w:t>按照</w:t>
      </w:r>
      <w:r>
        <w:rPr>
          <w:rFonts w:hint="eastAsia" w:ascii="Times New Roman" w:eastAsia="仿宋_GB2312"/>
          <w:sz w:val="32"/>
          <w:szCs w:val="32"/>
        </w:rPr>
        <w:t>自治区、伊犁州</w:t>
      </w:r>
      <w:r>
        <w:rPr>
          <w:rFonts w:ascii="Times New Roman" w:eastAsia="仿宋_GB2312"/>
          <w:sz w:val="32"/>
          <w:szCs w:val="32"/>
        </w:rPr>
        <w:t>的要求，全面规范矿产资源开发利用管理秩序，切实提高矿产资源开发利用水平。截止2020年全县砂石粘土类矿产资源集中开采区内已设采矿权15个，拟设采矿权6个。2021-2025年间，预期年净增砂石粘土类矿产资源采矿权数不超过3个。</w:t>
      </w:r>
    </w:p>
    <w:p>
      <w:pPr>
        <w:spacing w:line="560" w:lineRule="exact"/>
        <w:ind w:firstLine="659" w:firstLineChars="200"/>
        <w:rPr>
          <w:rFonts w:ascii="Times New Roman" w:eastAsia="仿宋_GB2312"/>
          <w:sz w:val="32"/>
          <w:szCs w:val="32"/>
        </w:rPr>
      </w:pPr>
      <w:r>
        <w:rPr>
          <w:rFonts w:ascii="Times New Roman" w:eastAsia="仿宋_GB2312"/>
          <w:b/>
          <w:sz w:val="32"/>
          <w:szCs w:val="32"/>
        </w:rPr>
        <w:t>砂石粘土类最低开采规模</w:t>
      </w:r>
      <w:r>
        <w:rPr>
          <w:rFonts w:hint="eastAsia" w:ascii="Times New Roman" w:eastAsia="仿宋_GB2312"/>
          <w:b/>
          <w:sz w:val="32"/>
          <w:szCs w:val="32"/>
        </w:rPr>
        <w:t>及矿区生态保护</w:t>
      </w:r>
      <w:r>
        <w:rPr>
          <w:rFonts w:ascii="Times New Roman" w:eastAsia="仿宋_GB2312"/>
          <w:b/>
          <w:sz w:val="32"/>
          <w:szCs w:val="32"/>
        </w:rPr>
        <w:t>。</w:t>
      </w:r>
      <w:r>
        <w:rPr>
          <w:rFonts w:hint="eastAsia" w:ascii="Times New Roman" w:eastAsia="仿宋_GB2312"/>
          <w:sz w:val="32"/>
          <w:szCs w:val="32"/>
        </w:rPr>
        <w:t>建筑用砂最低生产规模1</w:t>
      </w:r>
      <w:r>
        <w:rPr>
          <w:rFonts w:ascii="Times New Roman" w:eastAsia="仿宋_GB2312"/>
          <w:sz w:val="32"/>
          <w:szCs w:val="32"/>
        </w:rPr>
        <w:t>5万立方米/年</w:t>
      </w:r>
      <w:r>
        <w:rPr>
          <w:rFonts w:hint="eastAsia" w:ascii="Times New Roman" w:eastAsia="仿宋_GB2312"/>
          <w:sz w:val="32"/>
          <w:szCs w:val="32"/>
        </w:rPr>
        <w:t>，砖瓦用粘土最低生产规模</w:t>
      </w:r>
      <w:r>
        <w:rPr>
          <w:rFonts w:ascii="Times New Roman" w:eastAsia="仿宋_GB2312"/>
          <w:sz w:val="32"/>
          <w:szCs w:val="32"/>
        </w:rPr>
        <w:t>6</w:t>
      </w:r>
      <w:r>
        <w:rPr>
          <w:rFonts w:hint="eastAsia" w:ascii="Times New Roman" w:eastAsia="仿宋_GB2312"/>
          <w:sz w:val="32"/>
          <w:szCs w:val="32"/>
        </w:rPr>
        <w:t>万立方米/年，</w:t>
      </w:r>
      <w:r>
        <w:rPr>
          <w:rFonts w:ascii="Times New Roman" w:eastAsia="仿宋_GB2312"/>
          <w:sz w:val="32"/>
          <w:szCs w:val="32"/>
        </w:rPr>
        <w:t>开采回采率95%</w:t>
      </w:r>
      <w:r>
        <w:rPr>
          <w:rFonts w:hint="eastAsia" w:ascii="Times New Roman" w:eastAsia="仿宋_GB2312"/>
          <w:sz w:val="32"/>
          <w:szCs w:val="32"/>
        </w:rPr>
        <w:t>以上</w:t>
      </w:r>
      <w:r>
        <w:rPr>
          <w:rFonts w:ascii="Times New Roman" w:eastAsia="仿宋_GB2312"/>
          <w:sz w:val="32"/>
          <w:szCs w:val="32"/>
        </w:rPr>
        <w:t>。</w:t>
      </w:r>
      <w:r>
        <w:rPr>
          <w:rFonts w:hint="eastAsia" w:ascii="Times New Roman" w:eastAsia="仿宋_GB2312"/>
          <w:sz w:val="32"/>
          <w:szCs w:val="32"/>
        </w:rPr>
        <w:t>到2025年，新建矿山和现有生产矿山的地质环境得到改善，矿山地质环境恢复治理率、土地复垦率逐步提高，同时应加强资源开采可能对河道堤岸及行洪影响的防范。</w:t>
      </w:r>
    </w:p>
    <w:p>
      <w:pPr>
        <w:pStyle w:val="2"/>
        <w:spacing w:before="0" w:beforeLines="0" w:after="0" w:afterLines="0" w:line="560" w:lineRule="exact"/>
        <w:ind w:firstLine="720" w:firstLineChars="200"/>
        <w:jc w:val="both"/>
        <w:rPr>
          <w:rFonts w:ascii="黑体" w:hAnsi="黑体" w:eastAsia="黑体"/>
          <w:b w:val="0"/>
          <w:sz w:val="36"/>
          <w:szCs w:val="36"/>
        </w:rPr>
      </w:pPr>
      <w:bookmarkStart w:id="37" w:name="_Toc81992879"/>
      <w:bookmarkStart w:id="38" w:name="_Toc130413611"/>
      <w:r>
        <w:rPr>
          <w:rFonts w:hint="eastAsia" w:ascii="黑体" w:hAnsi="黑体" w:eastAsia="黑体"/>
          <w:b w:val="0"/>
          <w:sz w:val="36"/>
          <w:szCs w:val="36"/>
        </w:rPr>
        <w:t>四</w:t>
      </w:r>
      <w:r>
        <w:rPr>
          <w:rFonts w:ascii="黑体" w:hAnsi="黑体" w:eastAsia="黑体"/>
          <w:b w:val="0"/>
          <w:sz w:val="36"/>
          <w:szCs w:val="36"/>
        </w:rPr>
        <w:t>、加强矿产资源勘查开发利用与保护</w:t>
      </w:r>
      <w:bookmarkEnd w:id="37"/>
      <w:bookmarkEnd w:id="38"/>
    </w:p>
    <w:p>
      <w:pPr>
        <w:pStyle w:val="3"/>
        <w:spacing w:before="0" w:beforeLines="0" w:after="0" w:afterLines="0" w:line="560" w:lineRule="exact"/>
        <w:ind w:firstLine="659" w:firstLineChars="200"/>
        <w:jc w:val="both"/>
        <w:rPr>
          <w:rFonts w:ascii="Times New Roman" w:hAnsi="Times New Roman" w:eastAsia="楷体"/>
          <w:sz w:val="32"/>
          <w:szCs w:val="32"/>
        </w:rPr>
      </w:pPr>
      <w:bookmarkStart w:id="39" w:name="_Toc130413612"/>
      <w:bookmarkStart w:id="40" w:name="_Toc105969100"/>
      <w:bookmarkStart w:id="41" w:name="_Toc81992880"/>
      <w:r>
        <w:rPr>
          <w:rFonts w:ascii="Times New Roman" w:hAnsi="Times New Roman" w:eastAsia="楷体"/>
          <w:sz w:val="32"/>
          <w:szCs w:val="32"/>
        </w:rPr>
        <w:t>（一）强化矿产资源勘查管理</w:t>
      </w:r>
      <w:bookmarkEnd w:id="39"/>
      <w:bookmarkEnd w:id="40"/>
    </w:p>
    <w:p>
      <w:pPr>
        <w:spacing w:line="560" w:lineRule="exact"/>
        <w:ind w:firstLine="659" w:firstLineChars="200"/>
        <w:rPr>
          <w:rFonts w:ascii="Times New Roman" w:eastAsia="仿宋_GB2312"/>
          <w:sz w:val="32"/>
          <w:szCs w:val="32"/>
        </w:rPr>
      </w:pPr>
      <w:r>
        <w:rPr>
          <w:rFonts w:ascii="Times New Roman" w:eastAsia="仿宋_GB2312"/>
          <w:b/>
          <w:bCs/>
          <w:sz w:val="32"/>
          <w:szCs w:val="32"/>
        </w:rPr>
        <w:t>坚持绿色勘查生态优先。</w:t>
      </w:r>
      <w:r>
        <w:rPr>
          <w:rFonts w:ascii="Times New Roman" w:eastAsia="仿宋_GB2312"/>
          <w:sz w:val="32"/>
          <w:szCs w:val="32"/>
        </w:rPr>
        <w:t>牢固树立绿色发展理念，在生态环境保护的前提下部署开展地质勘查工作，以绿色发展理念为引领，实现环境保护与经济发展的和谐双赢。</w:t>
      </w:r>
    </w:p>
    <w:p>
      <w:pPr>
        <w:spacing w:line="560" w:lineRule="exact"/>
        <w:ind w:firstLine="659" w:firstLineChars="200"/>
        <w:rPr>
          <w:rFonts w:ascii="Times New Roman" w:eastAsia="仿宋_GB2312"/>
          <w:sz w:val="32"/>
          <w:szCs w:val="32"/>
        </w:rPr>
      </w:pPr>
      <w:r>
        <w:rPr>
          <w:rFonts w:ascii="Times New Roman" w:eastAsia="仿宋_GB2312"/>
          <w:b/>
          <w:bCs/>
          <w:sz w:val="32"/>
          <w:szCs w:val="32"/>
        </w:rPr>
        <w:t>强化探矿权竞争性出让。</w:t>
      </w:r>
      <w:r>
        <w:rPr>
          <w:rFonts w:ascii="Times New Roman" w:eastAsia="仿宋_GB2312"/>
          <w:sz w:val="32"/>
          <w:szCs w:val="32"/>
        </w:rPr>
        <w:t>完善探矿权竞争性出让机制，建立拟设探矿权项目库，引导市场投入；健全完善“净矿”出让机制，探索建立“净探矿权”出让制度。</w:t>
      </w:r>
    </w:p>
    <w:p>
      <w:pPr>
        <w:spacing w:line="560" w:lineRule="exact"/>
        <w:ind w:firstLine="659" w:firstLineChars="200"/>
        <w:rPr>
          <w:rFonts w:ascii="Times New Roman" w:eastAsia="仿宋_GB2312"/>
          <w:sz w:val="32"/>
          <w:szCs w:val="32"/>
        </w:rPr>
      </w:pPr>
      <w:r>
        <w:rPr>
          <w:rFonts w:ascii="Times New Roman" w:eastAsia="仿宋_GB2312"/>
          <w:b/>
          <w:bCs/>
          <w:sz w:val="32"/>
          <w:szCs w:val="32"/>
        </w:rPr>
        <w:t>积极引导多元化地质勘查资金投入。</w:t>
      </w:r>
      <w:r>
        <w:rPr>
          <w:rFonts w:ascii="Times New Roman" w:eastAsia="仿宋_GB2312"/>
          <w:sz w:val="32"/>
          <w:szCs w:val="32"/>
        </w:rPr>
        <w:t>积极引导重点勘查区内的矿产勘查活动，财政出资开展的地质勘查主要用于基础性公益性地质调查和战略性矿产勘查工作；引导商业勘查，积极鼓励社会资金投入，以多种方式开展矿产资源勘查活动，充分发挥社会资金在矿产勘查中的主体地位，壮大商业性勘查市场。</w:t>
      </w:r>
    </w:p>
    <w:p>
      <w:pPr>
        <w:spacing w:line="560" w:lineRule="exact"/>
        <w:ind w:firstLine="659" w:firstLineChars="200"/>
        <w:rPr>
          <w:rFonts w:ascii="Times New Roman"/>
          <w:sz w:val="32"/>
          <w:szCs w:val="32"/>
        </w:rPr>
      </w:pPr>
      <w:r>
        <w:rPr>
          <w:rFonts w:ascii="Times New Roman" w:eastAsia="仿宋_GB2312"/>
          <w:b/>
          <w:bCs/>
          <w:sz w:val="32"/>
          <w:szCs w:val="32"/>
        </w:rPr>
        <w:t>推进矿产资源综合勘查与综合评价。</w:t>
      </w:r>
      <w:r>
        <w:rPr>
          <w:rFonts w:ascii="Times New Roman" w:eastAsia="仿宋_GB2312"/>
          <w:sz w:val="32"/>
          <w:szCs w:val="32"/>
        </w:rPr>
        <w:t>原则上一个勘查规划区块对应一个勘查项目，在勘查主矿种的同时，对共伴生矿产进行综合勘查综合评价。</w:t>
      </w:r>
    </w:p>
    <w:p>
      <w:pPr>
        <w:pStyle w:val="3"/>
        <w:spacing w:before="0" w:beforeLines="0" w:after="0" w:afterLines="0" w:line="560" w:lineRule="exact"/>
        <w:ind w:firstLine="659" w:firstLineChars="200"/>
        <w:jc w:val="both"/>
        <w:rPr>
          <w:rFonts w:ascii="Times New Roman" w:hAnsi="Times New Roman" w:eastAsia="楷体"/>
          <w:sz w:val="32"/>
          <w:szCs w:val="32"/>
        </w:rPr>
      </w:pPr>
      <w:bookmarkStart w:id="42" w:name="_Toc130413613"/>
      <w:r>
        <w:rPr>
          <w:rFonts w:ascii="Times New Roman" w:hAnsi="Times New Roman" w:eastAsia="楷体"/>
          <w:sz w:val="32"/>
          <w:szCs w:val="32"/>
        </w:rPr>
        <w:t>（</w:t>
      </w:r>
      <w:r>
        <w:rPr>
          <w:rFonts w:hint="eastAsia" w:ascii="Times New Roman" w:hAnsi="Times New Roman" w:eastAsia="楷体"/>
          <w:sz w:val="32"/>
          <w:szCs w:val="32"/>
        </w:rPr>
        <w:t>二</w:t>
      </w:r>
      <w:r>
        <w:rPr>
          <w:rFonts w:ascii="Times New Roman" w:hAnsi="Times New Roman" w:eastAsia="楷体"/>
          <w:sz w:val="32"/>
          <w:szCs w:val="32"/>
        </w:rPr>
        <w:t>）合理确定开发强度</w:t>
      </w:r>
      <w:bookmarkEnd w:id="41"/>
      <w:bookmarkEnd w:id="42"/>
    </w:p>
    <w:p>
      <w:pPr>
        <w:spacing w:line="560" w:lineRule="exact"/>
        <w:ind w:firstLine="659" w:firstLineChars="200"/>
        <w:rPr>
          <w:rFonts w:ascii="Times New Roman" w:eastAsia="仿宋_GB2312"/>
          <w:sz w:val="32"/>
          <w:szCs w:val="32"/>
        </w:rPr>
      </w:pPr>
      <w:bookmarkStart w:id="43" w:name="_Toc3849"/>
      <w:bookmarkStart w:id="44" w:name="_Toc81992883"/>
      <w:r>
        <w:rPr>
          <w:rFonts w:ascii="Times New Roman" w:eastAsia="仿宋_GB2312"/>
          <w:b/>
          <w:sz w:val="32"/>
          <w:szCs w:val="32"/>
        </w:rPr>
        <w:t>合理调控矿产资源开发利用总量</w:t>
      </w:r>
      <w:bookmarkEnd w:id="43"/>
      <w:r>
        <w:rPr>
          <w:rFonts w:ascii="Times New Roman" w:eastAsia="仿宋_GB2312"/>
          <w:b/>
          <w:sz w:val="32"/>
          <w:szCs w:val="32"/>
        </w:rPr>
        <w:t>。</w:t>
      </w:r>
      <w:r>
        <w:rPr>
          <w:rFonts w:ascii="Times New Roman" w:eastAsia="仿宋_GB2312"/>
          <w:sz w:val="32"/>
          <w:szCs w:val="32"/>
        </w:rPr>
        <w:t>坚持矿产资源开采总量与经济社会发展需求相适应。鼓励开采国内、区内紧缺和市场需求量较大的矿产，限制开采供过于求和严重破坏生态环境的矿产。保持稀有金属和贵金属、特色非金属产量稳中有增。加大煤层气、地热、硅质原料等非常规能源、清洁能源、战略性新兴矿产的开发力度。通过采矿权关闭、技改、整合，推动矿山上规模，提高综合利用水平和规模效益。</w:t>
      </w:r>
    </w:p>
    <w:p>
      <w:pPr>
        <w:spacing w:line="560" w:lineRule="exact"/>
        <w:ind w:firstLine="656" w:firstLineChars="200"/>
        <w:rPr>
          <w:rFonts w:ascii="Times New Roman" w:eastAsia="仿宋_GB2312"/>
          <w:sz w:val="32"/>
          <w:szCs w:val="32"/>
        </w:rPr>
      </w:pPr>
      <w:r>
        <w:rPr>
          <w:rFonts w:ascii="Times New Roman" w:eastAsia="仿宋_GB2312"/>
          <w:sz w:val="32"/>
          <w:szCs w:val="32"/>
        </w:rPr>
        <w:t>煤炭资源随着国民经济的快速发展，传统煤炭市场对煤炭的消费量也在快速增长，煤炭市场相比往年异常火爆，随着伊北煤矿区北</w:t>
      </w:r>
      <w:r>
        <w:rPr>
          <w:rFonts w:hint="eastAsia" w:ascii="Times New Roman" w:eastAsia="仿宋_GB2312"/>
          <w:sz w:val="32"/>
          <w:szCs w:val="32"/>
        </w:rPr>
        <w:t>区</w:t>
      </w:r>
      <w:r>
        <w:rPr>
          <w:rFonts w:ascii="Times New Roman" w:eastAsia="仿宋_GB2312"/>
          <w:sz w:val="32"/>
          <w:szCs w:val="32"/>
        </w:rPr>
        <w:t>大型矿山的核准和落地，伴随“一带一路”发展机遇，</w:t>
      </w:r>
      <w:r>
        <w:rPr>
          <w:rFonts w:hint="eastAsia" w:ascii="Times New Roman" w:eastAsia="仿宋_GB2312"/>
          <w:sz w:val="32"/>
          <w:szCs w:val="32"/>
        </w:rPr>
        <w:t>各类政策叠加</w:t>
      </w:r>
      <w:r>
        <w:rPr>
          <w:rFonts w:ascii="Times New Roman" w:eastAsia="仿宋_GB2312"/>
          <w:sz w:val="32"/>
          <w:szCs w:val="32"/>
        </w:rPr>
        <w:t>，抓住重大基础设施投资的机遇，推断在“十四五”期间，对砂石粘土类矿产资源及其他建材类非金属矿的需求量仍然较大。</w:t>
      </w:r>
    </w:p>
    <w:p>
      <w:pPr>
        <w:spacing w:line="560" w:lineRule="exact"/>
        <w:ind w:firstLine="659" w:firstLineChars="200"/>
        <w:rPr>
          <w:rFonts w:ascii="Times New Roman" w:eastAsia="仿宋_GB2312"/>
          <w:sz w:val="32"/>
          <w:szCs w:val="32"/>
        </w:rPr>
      </w:pPr>
      <w:bookmarkStart w:id="45" w:name="_Toc23333"/>
      <w:r>
        <w:rPr>
          <w:rFonts w:ascii="Times New Roman" w:eastAsia="仿宋_GB2312"/>
          <w:b/>
          <w:sz w:val="32"/>
          <w:szCs w:val="32"/>
        </w:rPr>
        <w:t>合理确定矿山数量</w:t>
      </w:r>
      <w:bookmarkEnd w:id="45"/>
      <w:r>
        <w:rPr>
          <w:rFonts w:ascii="Times New Roman" w:eastAsia="仿宋_GB2312"/>
          <w:b/>
          <w:sz w:val="32"/>
          <w:szCs w:val="32"/>
        </w:rPr>
        <w:t>。</w:t>
      </w:r>
      <w:r>
        <w:rPr>
          <w:rFonts w:ascii="Times New Roman" w:eastAsia="仿宋_GB2312"/>
          <w:sz w:val="32"/>
          <w:szCs w:val="32"/>
        </w:rPr>
        <w:t>2020年伊宁</w:t>
      </w:r>
      <w:r>
        <w:rPr>
          <w:rFonts w:hint="eastAsia" w:ascii="Times New Roman" w:eastAsia="仿宋_GB2312"/>
          <w:sz w:val="32"/>
          <w:szCs w:val="32"/>
        </w:rPr>
        <w:t>县</w:t>
      </w:r>
      <w:r>
        <w:rPr>
          <w:rFonts w:ascii="Times New Roman" w:eastAsia="仿宋_GB2312"/>
          <w:sz w:val="32"/>
          <w:szCs w:val="32"/>
        </w:rPr>
        <w:t>矿山总数为47个，大中型</w:t>
      </w:r>
      <w:r>
        <w:rPr>
          <w:rFonts w:hint="eastAsia" w:ascii="Times New Roman" w:eastAsia="仿宋_GB2312"/>
          <w:sz w:val="32"/>
          <w:szCs w:val="32"/>
        </w:rPr>
        <w:t>矿山</w:t>
      </w:r>
      <w:r>
        <w:rPr>
          <w:rFonts w:ascii="Times New Roman" w:eastAsia="仿宋_GB2312"/>
          <w:sz w:val="32"/>
          <w:szCs w:val="32"/>
        </w:rPr>
        <w:t>占比44.68%</w:t>
      </w:r>
      <w:r>
        <w:rPr>
          <w:rFonts w:hint="eastAsia" w:ascii="Times New Roman" w:eastAsia="仿宋_GB2312"/>
          <w:sz w:val="32"/>
          <w:szCs w:val="32"/>
        </w:rPr>
        <w:t>，还有上升空间，</w:t>
      </w:r>
      <w:r>
        <w:rPr>
          <w:rFonts w:ascii="Times New Roman" w:eastAsia="仿宋_GB2312"/>
          <w:sz w:val="32"/>
          <w:szCs w:val="32"/>
        </w:rPr>
        <w:t>规划期内应通过资源整合、兼并重组</w:t>
      </w:r>
      <w:r>
        <w:rPr>
          <w:rFonts w:hint="eastAsia" w:ascii="Times New Roman" w:eastAsia="仿宋_GB2312"/>
          <w:sz w:val="32"/>
          <w:szCs w:val="32"/>
        </w:rPr>
        <w:t>、技术改造</w:t>
      </w:r>
      <w:r>
        <w:rPr>
          <w:rFonts w:ascii="Times New Roman" w:eastAsia="仿宋_GB2312"/>
          <w:sz w:val="32"/>
          <w:szCs w:val="32"/>
        </w:rPr>
        <w:t>等措施，推动矿山扩大规模、延伸产业链，提高综合利用水平和规模效益，力争到2025年全区大中型矿山的比例达45%以上。</w:t>
      </w:r>
    </w:p>
    <w:p>
      <w:pPr>
        <w:pStyle w:val="3"/>
        <w:spacing w:before="0" w:beforeLines="0" w:after="0" w:afterLines="0" w:line="560" w:lineRule="exact"/>
        <w:ind w:firstLine="659" w:firstLineChars="200"/>
        <w:jc w:val="both"/>
        <w:rPr>
          <w:rFonts w:ascii="Times New Roman" w:hAnsi="Times New Roman" w:eastAsia="楷体"/>
          <w:sz w:val="32"/>
          <w:szCs w:val="32"/>
        </w:rPr>
      </w:pPr>
      <w:bookmarkStart w:id="46" w:name="_Toc87903987"/>
      <w:bookmarkStart w:id="47" w:name="_Toc81992881"/>
      <w:bookmarkStart w:id="48" w:name="_Toc130413614"/>
      <w:r>
        <w:rPr>
          <w:rFonts w:hint="eastAsia" w:ascii="Times New Roman" w:hAnsi="Times New Roman" w:eastAsia="楷体"/>
          <w:sz w:val="32"/>
          <w:szCs w:val="32"/>
        </w:rPr>
        <w:t>（三）</w:t>
      </w:r>
      <w:r>
        <w:rPr>
          <w:rFonts w:ascii="Times New Roman" w:hAnsi="Times New Roman" w:eastAsia="楷体"/>
          <w:sz w:val="32"/>
          <w:szCs w:val="32"/>
        </w:rPr>
        <w:t>优化开发利用结构</w:t>
      </w:r>
      <w:bookmarkEnd w:id="46"/>
      <w:bookmarkEnd w:id="47"/>
      <w:bookmarkEnd w:id="48"/>
    </w:p>
    <w:p>
      <w:pPr>
        <w:spacing w:line="560" w:lineRule="exact"/>
        <w:ind w:firstLine="659" w:firstLineChars="200"/>
        <w:rPr>
          <w:rFonts w:ascii="Times New Roman" w:eastAsia="仿宋_GB2312"/>
          <w:sz w:val="32"/>
          <w:szCs w:val="32"/>
        </w:rPr>
      </w:pPr>
      <w:r>
        <w:rPr>
          <w:rFonts w:ascii="Times New Roman" w:eastAsia="仿宋_GB2312"/>
          <w:b/>
          <w:sz w:val="32"/>
          <w:szCs w:val="32"/>
        </w:rPr>
        <w:t>主要矿种最低开采规模标准。</w:t>
      </w:r>
      <w:r>
        <w:rPr>
          <w:rFonts w:ascii="Times New Roman" w:eastAsia="仿宋_GB2312"/>
          <w:sz w:val="32"/>
          <w:szCs w:val="32"/>
        </w:rPr>
        <w:t>根据地质勘查程度、资源禀赋条件、开发利用水平和经济社会发展现状，制定有差异的开采规模和标准。</w:t>
      </w:r>
    </w:p>
    <w:p>
      <w:pPr>
        <w:spacing w:line="560" w:lineRule="exact"/>
        <w:ind w:firstLine="656" w:firstLineChars="200"/>
        <w:rPr>
          <w:rFonts w:ascii="Times New Roman" w:eastAsia="仿宋_GB2312"/>
          <w:sz w:val="32"/>
          <w:szCs w:val="32"/>
        </w:rPr>
      </w:pPr>
      <w:r>
        <w:rPr>
          <w:rFonts w:ascii="Times New Roman" w:eastAsia="仿宋_GB2312"/>
          <w:sz w:val="32"/>
          <w:szCs w:val="32"/>
        </w:rPr>
        <w:t>禁止核准新建120万吨/年/矿井（不含）及400万吨/年/露天（不含）以下规模的煤矿；不再新建年产30万吨（不含）以下露天开采铁矿、10万吨（不含）以下地下开采铁矿；不再新建年产矿石量30万吨以下的铜矿山；不再新建日处理岩金矿石300吨（不含）以下的露天采选项目、100吨（不含）以下的地下采选项目。</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2809"/>
        <w:gridCol w:w="1348"/>
        <w:gridCol w:w="1101"/>
        <w:gridCol w:w="976"/>
        <w:gridCol w:w="1115"/>
        <w:gridCol w:w="837"/>
        <w:gridCol w:w="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42" w:hRule="atLeast"/>
          <w:tblHeader/>
          <w:jc w:val="center"/>
        </w:trPr>
        <w:tc>
          <w:tcPr>
            <w:tcW w:w="5000" w:type="pct"/>
            <w:gridSpan w:val="7"/>
            <w:shd w:val="clear" w:color="auto" w:fill="FFFFFF" w:themeFill="background1"/>
            <w:noWrap/>
            <w:vAlign w:val="center"/>
          </w:tcPr>
          <w:p>
            <w:pPr>
              <w:spacing w:line="240" w:lineRule="auto"/>
              <w:rPr>
                <w:rFonts w:ascii="Times New Roman"/>
                <w:snapToGrid/>
                <w:spacing w:val="0"/>
                <w:sz w:val="21"/>
                <w:szCs w:val="21"/>
              </w:rPr>
            </w:pPr>
            <w:bookmarkStart w:id="49" w:name="_Toc264991402"/>
            <w:r>
              <w:rPr>
                <w:rFonts w:ascii="Times New Roman" w:eastAsia="仿宋_GB2312"/>
                <w:b/>
                <w:bCs/>
                <w:sz w:val="21"/>
                <w:szCs w:val="21"/>
              </w:rPr>
              <w:t>专栏17                                     主要矿种最低开采规模设计标准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blHeader/>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矿产名称</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单位/年</w:t>
            </w:r>
          </w:p>
        </w:tc>
        <w:tc>
          <w:tcPr>
            <w:tcW w:w="608"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大型</w:t>
            </w:r>
          </w:p>
        </w:tc>
        <w:tc>
          <w:tcPr>
            <w:tcW w:w="539"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中型</w:t>
            </w:r>
          </w:p>
        </w:tc>
        <w:tc>
          <w:tcPr>
            <w:tcW w:w="615"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小型</w:t>
            </w:r>
          </w:p>
        </w:tc>
        <w:tc>
          <w:tcPr>
            <w:tcW w:w="46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hint="eastAsia" w:ascii="Times New Roman" w:eastAsia="仿宋_GB2312"/>
                <w:snapToGrid/>
                <w:spacing w:val="0"/>
                <w:sz w:val="21"/>
                <w:szCs w:val="21"/>
              </w:rPr>
              <w:t>最低服务年限</w:t>
            </w:r>
          </w:p>
        </w:tc>
        <w:tc>
          <w:tcPr>
            <w:tcW w:w="482" w:type="pct"/>
            <w:shd w:val="clear" w:color="auto" w:fill="FFFFFF" w:themeFill="background1"/>
            <w:vAlign w:val="center"/>
          </w:tcPr>
          <w:p>
            <w:pPr>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181"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煤（地下开采/露天开采）</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原煤万吨</w:t>
            </w:r>
          </w:p>
        </w:tc>
        <w:tc>
          <w:tcPr>
            <w:tcW w:w="608"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120/400</w:t>
            </w:r>
          </w:p>
        </w:tc>
        <w:tc>
          <w:tcPr>
            <w:tcW w:w="539"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w:t>
            </w:r>
          </w:p>
        </w:tc>
        <w:tc>
          <w:tcPr>
            <w:tcW w:w="615"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w:t>
            </w:r>
          </w:p>
        </w:tc>
        <w:tc>
          <w:tcPr>
            <w:tcW w:w="462"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p>
        </w:tc>
        <w:tc>
          <w:tcPr>
            <w:tcW w:w="482" w:type="pct"/>
            <w:shd w:val="clear" w:color="auto" w:fill="FFFFFF" w:themeFill="background1"/>
            <w:vAlign w:val="center"/>
          </w:tcPr>
          <w:p>
            <w:pPr>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铜</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矿石万吨</w:t>
            </w:r>
          </w:p>
        </w:tc>
        <w:tc>
          <w:tcPr>
            <w:tcW w:w="608"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100</w:t>
            </w:r>
          </w:p>
        </w:tc>
        <w:tc>
          <w:tcPr>
            <w:tcW w:w="539"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30</w:t>
            </w:r>
          </w:p>
        </w:tc>
        <w:tc>
          <w:tcPr>
            <w:tcW w:w="615"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w:t>
            </w:r>
          </w:p>
        </w:tc>
        <w:tc>
          <w:tcPr>
            <w:tcW w:w="462"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hint="eastAsia" w:ascii="Times New Roman" w:eastAsia="仿宋_GB2312"/>
                <w:snapToGrid/>
                <w:spacing w:val="0"/>
                <w:sz w:val="21"/>
                <w:szCs w:val="21"/>
              </w:rPr>
              <w:t>1</w:t>
            </w:r>
            <w:r>
              <w:rPr>
                <w:rFonts w:ascii="Times New Roman" w:eastAsia="仿宋_GB2312"/>
                <w:snapToGrid/>
                <w:spacing w:val="0"/>
                <w:sz w:val="21"/>
                <w:szCs w:val="21"/>
              </w:rPr>
              <w:t>0</w:t>
            </w:r>
            <w:r>
              <w:rPr>
                <w:rFonts w:hint="eastAsia" w:ascii="Times New Roman" w:eastAsia="仿宋_GB2312"/>
                <w:snapToGrid/>
                <w:spacing w:val="0"/>
                <w:sz w:val="21"/>
                <w:szCs w:val="21"/>
              </w:rPr>
              <w:t>年</w:t>
            </w: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铅锌</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矿石万吨</w:t>
            </w:r>
          </w:p>
        </w:tc>
        <w:tc>
          <w:tcPr>
            <w:tcW w:w="608"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100</w:t>
            </w:r>
          </w:p>
        </w:tc>
        <w:tc>
          <w:tcPr>
            <w:tcW w:w="539"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30</w:t>
            </w:r>
          </w:p>
        </w:tc>
        <w:tc>
          <w:tcPr>
            <w:tcW w:w="615"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10</w:t>
            </w:r>
          </w:p>
        </w:tc>
        <w:tc>
          <w:tcPr>
            <w:tcW w:w="462"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hint="eastAsia" w:ascii="Times New Roman" w:eastAsia="仿宋_GB2312"/>
                <w:snapToGrid/>
                <w:spacing w:val="0"/>
                <w:sz w:val="21"/>
                <w:szCs w:val="21"/>
              </w:rPr>
              <w:t>1</w:t>
            </w:r>
            <w:r>
              <w:rPr>
                <w:rFonts w:ascii="Times New Roman" w:eastAsia="仿宋_GB2312"/>
                <w:snapToGrid/>
                <w:spacing w:val="0"/>
                <w:sz w:val="21"/>
                <w:szCs w:val="21"/>
              </w:rPr>
              <w:t>5</w:t>
            </w:r>
            <w:r>
              <w:rPr>
                <w:rFonts w:hint="eastAsia" w:ascii="Times New Roman" w:eastAsia="仿宋_GB2312"/>
                <w:snapToGrid/>
                <w:spacing w:val="0"/>
                <w:sz w:val="21"/>
                <w:szCs w:val="21"/>
              </w:rPr>
              <w:t>年</w:t>
            </w: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金（岩金）</w:t>
            </w:r>
          </w:p>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（地下开采/露天开采）</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矿石万吨</w:t>
            </w:r>
          </w:p>
        </w:tc>
        <w:tc>
          <w:tcPr>
            <w:tcW w:w="608"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15/15</w:t>
            </w:r>
          </w:p>
        </w:tc>
        <w:tc>
          <w:tcPr>
            <w:tcW w:w="539"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6/9</w:t>
            </w:r>
          </w:p>
        </w:tc>
        <w:tc>
          <w:tcPr>
            <w:tcW w:w="615"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3/-</w:t>
            </w:r>
          </w:p>
        </w:tc>
        <w:tc>
          <w:tcPr>
            <w:tcW w:w="462"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hint="eastAsia" w:ascii="Times New Roman" w:eastAsia="仿宋_GB2312"/>
                <w:snapToGrid/>
                <w:spacing w:val="0"/>
                <w:sz w:val="21"/>
                <w:szCs w:val="21"/>
              </w:rPr>
              <w:t>1</w:t>
            </w:r>
            <w:r>
              <w:rPr>
                <w:rFonts w:ascii="Times New Roman" w:eastAsia="仿宋_GB2312"/>
                <w:snapToGrid/>
                <w:spacing w:val="0"/>
                <w:sz w:val="21"/>
                <w:szCs w:val="21"/>
              </w:rPr>
              <w:t>0</w:t>
            </w:r>
            <w:r>
              <w:rPr>
                <w:rFonts w:hint="eastAsia" w:ascii="Times New Roman" w:eastAsia="仿宋_GB2312"/>
                <w:snapToGrid/>
                <w:spacing w:val="0"/>
                <w:sz w:val="21"/>
                <w:szCs w:val="21"/>
              </w:rPr>
              <w:t>年</w:t>
            </w: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石灰岩（水泥用/其他）</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矿石万吨</w:t>
            </w:r>
          </w:p>
        </w:tc>
        <w:tc>
          <w:tcPr>
            <w:tcW w:w="608" w:type="pct"/>
            <w:shd w:val="clear" w:color="auto" w:fill="FFFFFF" w:themeFill="background1"/>
            <w:noWrap/>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100/100</w:t>
            </w:r>
          </w:p>
        </w:tc>
        <w:tc>
          <w:tcPr>
            <w:tcW w:w="539" w:type="pct"/>
            <w:shd w:val="clear" w:color="auto" w:fill="FFFFFF" w:themeFill="background1"/>
            <w:noWrap/>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50/50</w:t>
            </w:r>
          </w:p>
        </w:tc>
        <w:tc>
          <w:tcPr>
            <w:tcW w:w="615" w:type="pct"/>
            <w:shd w:val="clear" w:color="auto" w:fill="FFFFFF" w:themeFill="background1"/>
            <w:noWrap/>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30/20</w:t>
            </w:r>
          </w:p>
        </w:tc>
        <w:tc>
          <w:tcPr>
            <w:tcW w:w="462"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hint="eastAsia" w:ascii="Times New Roman" w:eastAsia="仿宋_GB2312"/>
                <w:snapToGrid/>
                <w:spacing w:val="0"/>
                <w:sz w:val="21"/>
                <w:szCs w:val="21"/>
              </w:rPr>
              <w:t>1</w:t>
            </w:r>
            <w:r>
              <w:rPr>
                <w:rFonts w:ascii="Times New Roman" w:eastAsia="仿宋_GB2312"/>
                <w:snapToGrid/>
                <w:spacing w:val="0"/>
                <w:sz w:val="21"/>
                <w:szCs w:val="21"/>
              </w:rPr>
              <w:t>0</w:t>
            </w:r>
            <w:r>
              <w:rPr>
                <w:rFonts w:hint="eastAsia" w:ascii="Times New Roman" w:eastAsia="仿宋_GB2312"/>
                <w:snapToGrid/>
                <w:spacing w:val="0"/>
                <w:sz w:val="21"/>
                <w:szCs w:val="21"/>
              </w:rPr>
              <w:t>年</w:t>
            </w: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23"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冶金、水泥用天然石英砂</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矿石万吨</w:t>
            </w:r>
          </w:p>
        </w:tc>
        <w:tc>
          <w:tcPr>
            <w:tcW w:w="608"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60</w:t>
            </w:r>
          </w:p>
        </w:tc>
        <w:tc>
          <w:tcPr>
            <w:tcW w:w="539"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20</w:t>
            </w:r>
          </w:p>
        </w:tc>
        <w:tc>
          <w:tcPr>
            <w:tcW w:w="615"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10</w:t>
            </w:r>
          </w:p>
        </w:tc>
        <w:tc>
          <w:tcPr>
            <w:tcW w:w="462"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23"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玻璃、陶瓷等用石英岩、石英砂</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矿石万吨</w:t>
            </w:r>
          </w:p>
        </w:tc>
        <w:tc>
          <w:tcPr>
            <w:tcW w:w="608"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30</w:t>
            </w:r>
          </w:p>
        </w:tc>
        <w:tc>
          <w:tcPr>
            <w:tcW w:w="539"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10</w:t>
            </w:r>
          </w:p>
        </w:tc>
        <w:tc>
          <w:tcPr>
            <w:tcW w:w="615"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5</w:t>
            </w:r>
          </w:p>
        </w:tc>
        <w:tc>
          <w:tcPr>
            <w:tcW w:w="462"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23"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重晶石</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矿石万吨</w:t>
            </w:r>
          </w:p>
        </w:tc>
        <w:tc>
          <w:tcPr>
            <w:tcW w:w="608"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10</w:t>
            </w:r>
          </w:p>
        </w:tc>
        <w:tc>
          <w:tcPr>
            <w:tcW w:w="539"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5</w:t>
            </w:r>
          </w:p>
        </w:tc>
        <w:tc>
          <w:tcPr>
            <w:tcW w:w="615"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3</w:t>
            </w:r>
          </w:p>
        </w:tc>
        <w:tc>
          <w:tcPr>
            <w:tcW w:w="462"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10年</w:t>
            </w: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5"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color w:val="000000"/>
                <w:sz w:val="21"/>
                <w:szCs w:val="21"/>
              </w:rPr>
              <w:t>饰面用石材</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color w:val="000000"/>
                <w:sz w:val="21"/>
                <w:szCs w:val="21"/>
              </w:rPr>
              <w:t>万立方米</w:t>
            </w:r>
          </w:p>
        </w:tc>
        <w:tc>
          <w:tcPr>
            <w:tcW w:w="608"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color w:val="000000"/>
                <w:sz w:val="21"/>
                <w:szCs w:val="21"/>
              </w:rPr>
              <w:t>1</w:t>
            </w:r>
          </w:p>
        </w:tc>
        <w:tc>
          <w:tcPr>
            <w:tcW w:w="539"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z w:val="21"/>
                <w:szCs w:val="21"/>
              </w:rPr>
              <w:t>0.5</w:t>
            </w:r>
          </w:p>
        </w:tc>
        <w:tc>
          <w:tcPr>
            <w:tcW w:w="615"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color w:val="000000"/>
                <w:sz w:val="21"/>
                <w:szCs w:val="21"/>
              </w:rPr>
              <w:t>0.3</w:t>
            </w:r>
          </w:p>
        </w:tc>
        <w:tc>
          <w:tcPr>
            <w:tcW w:w="46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15"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color w:val="000000"/>
                <w:sz w:val="21"/>
                <w:szCs w:val="21"/>
              </w:rPr>
            </w:pPr>
            <w:r>
              <w:rPr>
                <w:rFonts w:ascii="Times New Roman" w:eastAsia="仿宋_GB2312"/>
                <w:snapToGrid/>
                <w:spacing w:val="0"/>
                <w:sz w:val="21"/>
                <w:szCs w:val="21"/>
              </w:rPr>
              <w:t>建筑用石材</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color w:val="000000"/>
                <w:sz w:val="21"/>
                <w:szCs w:val="21"/>
              </w:rPr>
            </w:pPr>
            <w:r>
              <w:rPr>
                <w:rFonts w:ascii="Times New Roman" w:eastAsia="仿宋_GB2312"/>
                <w:snapToGrid/>
                <w:spacing w:val="0"/>
                <w:sz w:val="21"/>
                <w:szCs w:val="21"/>
              </w:rPr>
              <w:t>万立方米</w:t>
            </w:r>
          </w:p>
        </w:tc>
        <w:tc>
          <w:tcPr>
            <w:tcW w:w="608" w:type="pct"/>
            <w:shd w:val="clear" w:color="auto" w:fill="FFFFFF" w:themeFill="background1"/>
            <w:vAlign w:val="center"/>
          </w:tcPr>
          <w:p>
            <w:pPr>
              <w:widowControl/>
              <w:adjustRightInd/>
              <w:snapToGrid/>
              <w:spacing w:line="360" w:lineRule="exact"/>
              <w:jc w:val="center"/>
              <w:rPr>
                <w:rFonts w:ascii="Times New Roman" w:eastAsia="仿宋_GB2312"/>
                <w:color w:val="000000"/>
                <w:sz w:val="21"/>
                <w:szCs w:val="21"/>
              </w:rPr>
            </w:pPr>
            <w:r>
              <w:rPr>
                <w:rFonts w:ascii="Times New Roman" w:eastAsia="仿宋_GB2312"/>
                <w:snapToGrid/>
                <w:spacing w:val="0"/>
                <w:sz w:val="21"/>
                <w:szCs w:val="21"/>
              </w:rPr>
              <w:t>10</w:t>
            </w:r>
          </w:p>
        </w:tc>
        <w:tc>
          <w:tcPr>
            <w:tcW w:w="539" w:type="pct"/>
            <w:shd w:val="clear" w:color="auto" w:fill="FFFFFF" w:themeFill="background1"/>
            <w:vAlign w:val="center"/>
          </w:tcPr>
          <w:p>
            <w:pPr>
              <w:widowControl/>
              <w:adjustRightInd/>
              <w:snapToGrid/>
              <w:spacing w:line="360" w:lineRule="exact"/>
              <w:jc w:val="center"/>
              <w:rPr>
                <w:rFonts w:ascii="Times New Roman" w:eastAsia="仿宋_GB2312"/>
                <w:sz w:val="21"/>
                <w:szCs w:val="21"/>
              </w:rPr>
            </w:pPr>
            <w:r>
              <w:rPr>
                <w:rFonts w:ascii="Times New Roman" w:eastAsia="仿宋_GB2312"/>
                <w:snapToGrid/>
                <w:spacing w:val="0"/>
                <w:sz w:val="21"/>
                <w:szCs w:val="21"/>
              </w:rPr>
              <w:t>5</w:t>
            </w:r>
          </w:p>
        </w:tc>
        <w:tc>
          <w:tcPr>
            <w:tcW w:w="615" w:type="pct"/>
            <w:shd w:val="clear" w:color="auto" w:fill="FFFFFF" w:themeFill="background1"/>
            <w:vAlign w:val="center"/>
          </w:tcPr>
          <w:p>
            <w:pPr>
              <w:widowControl/>
              <w:adjustRightInd/>
              <w:snapToGrid/>
              <w:spacing w:line="360" w:lineRule="exact"/>
              <w:jc w:val="center"/>
              <w:rPr>
                <w:rFonts w:ascii="Times New Roman" w:eastAsia="仿宋_GB2312"/>
                <w:color w:val="000000"/>
                <w:sz w:val="21"/>
                <w:szCs w:val="21"/>
              </w:rPr>
            </w:pPr>
            <w:r>
              <w:rPr>
                <w:rFonts w:ascii="Times New Roman" w:eastAsia="仿宋_GB2312"/>
                <w:snapToGrid/>
                <w:spacing w:val="0"/>
                <w:sz w:val="21"/>
                <w:szCs w:val="21"/>
              </w:rPr>
              <w:t>1.5</w:t>
            </w:r>
          </w:p>
        </w:tc>
        <w:tc>
          <w:tcPr>
            <w:tcW w:w="46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5"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高岭土</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矿石万吨</w:t>
            </w:r>
          </w:p>
        </w:tc>
        <w:tc>
          <w:tcPr>
            <w:tcW w:w="608"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10</w:t>
            </w:r>
          </w:p>
        </w:tc>
        <w:tc>
          <w:tcPr>
            <w:tcW w:w="539"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5</w:t>
            </w:r>
          </w:p>
        </w:tc>
        <w:tc>
          <w:tcPr>
            <w:tcW w:w="615"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3</w:t>
            </w:r>
          </w:p>
        </w:tc>
        <w:tc>
          <w:tcPr>
            <w:tcW w:w="46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10年</w:t>
            </w: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5"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砖瓦用粘土</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万立方米</w:t>
            </w:r>
          </w:p>
        </w:tc>
        <w:tc>
          <w:tcPr>
            <w:tcW w:w="608"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30</w:t>
            </w:r>
          </w:p>
        </w:tc>
        <w:tc>
          <w:tcPr>
            <w:tcW w:w="539"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13</w:t>
            </w:r>
          </w:p>
        </w:tc>
        <w:tc>
          <w:tcPr>
            <w:tcW w:w="615"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6</w:t>
            </w:r>
          </w:p>
        </w:tc>
        <w:tc>
          <w:tcPr>
            <w:tcW w:w="46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295" w:hRule="atLeast"/>
          <w:jc w:val="center"/>
        </w:trPr>
        <w:tc>
          <w:tcPr>
            <w:tcW w:w="1550"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建筑用砂</w:t>
            </w:r>
          </w:p>
        </w:tc>
        <w:tc>
          <w:tcPr>
            <w:tcW w:w="744" w:type="pct"/>
            <w:shd w:val="clear" w:color="auto" w:fill="FFFFFF" w:themeFill="background1"/>
            <w:noWrap/>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万立方米</w:t>
            </w:r>
          </w:p>
        </w:tc>
        <w:tc>
          <w:tcPr>
            <w:tcW w:w="608"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30</w:t>
            </w:r>
          </w:p>
        </w:tc>
        <w:tc>
          <w:tcPr>
            <w:tcW w:w="539"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15</w:t>
            </w:r>
          </w:p>
        </w:tc>
        <w:tc>
          <w:tcPr>
            <w:tcW w:w="615"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r>
              <w:rPr>
                <w:rFonts w:ascii="Times New Roman" w:eastAsia="仿宋_GB2312"/>
                <w:snapToGrid/>
                <w:spacing w:val="0"/>
                <w:sz w:val="21"/>
                <w:szCs w:val="21"/>
              </w:rPr>
              <w:t>-</w:t>
            </w:r>
          </w:p>
        </w:tc>
        <w:tc>
          <w:tcPr>
            <w:tcW w:w="46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c>
          <w:tcPr>
            <w:tcW w:w="482" w:type="pct"/>
            <w:shd w:val="clear" w:color="auto" w:fill="FFFFFF" w:themeFill="background1"/>
            <w:vAlign w:val="center"/>
          </w:tcPr>
          <w:p>
            <w:pPr>
              <w:widowControl/>
              <w:adjustRightInd/>
              <w:snapToGrid/>
              <w:spacing w:line="360" w:lineRule="exact"/>
              <w:jc w:val="center"/>
              <w:rPr>
                <w:rFonts w:ascii="Times New Roman" w:eastAsia="仿宋_GB2312"/>
                <w:snapToGrid/>
                <w:spacing w:val="0"/>
                <w:sz w:val="21"/>
                <w:szCs w:val="21"/>
              </w:rPr>
            </w:pPr>
          </w:p>
        </w:tc>
      </w:tr>
      <w:bookmarkEnd w:id="49"/>
    </w:tbl>
    <w:p>
      <w:pPr>
        <w:pStyle w:val="3"/>
        <w:spacing w:before="0" w:beforeLines="0" w:after="0" w:afterLines="0" w:line="560" w:lineRule="exact"/>
        <w:ind w:firstLine="659" w:firstLineChars="200"/>
        <w:jc w:val="both"/>
        <w:rPr>
          <w:rFonts w:ascii="Times New Roman" w:hAnsi="Times New Roman" w:eastAsia="楷体"/>
          <w:sz w:val="32"/>
          <w:szCs w:val="32"/>
        </w:rPr>
      </w:pPr>
      <w:bookmarkStart w:id="50" w:name="_Toc130413615"/>
      <w:bookmarkStart w:id="51" w:name="_Toc105969103"/>
      <w:bookmarkStart w:id="52" w:name="_Toc14280"/>
      <w:r>
        <w:rPr>
          <w:rFonts w:ascii="Times New Roman" w:hAnsi="Times New Roman" w:eastAsia="楷体"/>
          <w:sz w:val="32"/>
          <w:szCs w:val="32"/>
        </w:rPr>
        <w:t>（四）矿产资源节约与综合利用</w:t>
      </w:r>
      <w:bookmarkEnd w:id="50"/>
      <w:bookmarkEnd w:id="51"/>
      <w:r>
        <w:rPr>
          <w:rFonts w:ascii="Times New Roman" w:hAnsi="Times New Roman" w:eastAsia="楷体"/>
          <w:sz w:val="32"/>
          <w:szCs w:val="32"/>
        </w:rPr>
        <w:t xml:space="preserve"> </w:t>
      </w:r>
    </w:p>
    <w:p>
      <w:pPr>
        <w:spacing w:line="560" w:lineRule="exact"/>
        <w:ind w:firstLine="656" w:firstLineChars="200"/>
        <w:rPr>
          <w:rFonts w:ascii="Times New Roman"/>
          <w:b/>
          <w:bCs/>
          <w:sz w:val="32"/>
          <w:szCs w:val="32"/>
        </w:rPr>
      </w:pPr>
      <w:r>
        <w:rPr>
          <w:rFonts w:ascii="Times New Roman" w:eastAsia="仿宋_GB2312"/>
          <w:sz w:val="32"/>
          <w:szCs w:val="32"/>
        </w:rPr>
        <w:t>在开发利用主要矿产时，对于具有工业价值的共伴生矿产要统一规划，综合勘查、综合评价、综合开发和综合利用。</w:t>
      </w:r>
    </w:p>
    <w:p>
      <w:pPr>
        <w:spacing w:line="560" w:lineRule="exact"/>
        <w:ind w:firstLine="659" w:firstLineChars="200"/>
        <w:rPr>
          <w:rFonts w:ascii="Times New Roman" w:eastAsia="仿宋_GB2312"/>
          <w:sz w:val="32"/>
          <w:szCs w:val="32"/>
        </w:rPr>
      </w:pPr>
      <w:r>
        <w:rPr>
          <w:rFonts w:ascii="Times New Roman" w:eastAsia="仿宋_GB2312"/>
          <w:b/>
          <w:sz w:val="32"/>
          <w:szCs w:val="32"/>
        </w:rPr>
        <w:t>加大共伴生矿产的综合利用。</w:t>
      </w:r>
      <w:r>
        <w:rPr>
          <w:rFonts w:ascii="Times New Roman" w:eastAsia="仿宋_GB2312"/>
          <w:sz w:val="32"/>
          <w:szCs w:val="32"/>
        </w:rPr>
        <w:t>加强低品位矿、难选冶矿以及共伴生矿综合利用的新技术、新工艺研究，鼓励矿山企业在铜、铅、锌</w:t>
      </w:r>
      <w:r>
        <w:rPr>
          <w:rFonts w:hint="eastAsia" w:ascii="Times New Roman" w:eastAsia="仿宋_GB2312"/>
          <w:sz w:val="32"/>
          <w:szCs w:val="32"/>
        </w:rPr>
        <w:t>矿</w:t>
      </w:r>
      <w:r>
        <w:rPr>
          <w:rFonts w:ascii="Times New Roman" w:eastAsia="仿宋_GB2312"/>
          <w:sz w:val="32"/>
          <w:szCs w:val="32"/>
        </w:rPr>
        <w:t>等综合利用关键技术方面取得较大创新，提高全地区矿产资源综合利用水平。在矿山设计和生产过程中统筹兼顾共生、伴生矿产资源，对主要共生、伴生矿产同等对待，扩大资源量。对具有工业价值的共生、伴生矿产，统一规划，综合开采综合利用。坚持采气采煤一体化，加强煤层气和煤炭的综合勘查和综合开发。重点加强有色金属、贵金属、稀有稀散元素矿产等共生、伴生矿产资源开采、选矿过程中的综合开发利用。</w:t>
      </w:r>
    </w:p>
    <w:p>
      <w:pPr>
        <w:spacing w:line="560" w:lineRule="exact"/>
        <w:ind w:firstLine="659" w:firstLineChars="200"/>
        <w:rPr>
          <w:rFonts w:ascii="Times New Roman" w:eastAsia="仿宋_GB2312"/>
          <w:sz w:val="32"/>
          <w:szCs w:val="32"/>
        </w:rPr>
      </w:pPr>
      <w:r>
        <w:rPr>
          <w:rFonts w:ascii="Times New Roman" w:eastAsia="仿宋_GB2312"/>
          <w:b/>
          <w:sz w:val="32"/>
          <w:szCs w:val="32"/>
        </w:rPr>
        <w:t>加强矿山固体废弃物和废水的综合利用。</w:t>
      </w:r>
      <w:r>
        <w:rPr>
          <w:rFonts w:ascii="Times New Roman" w:eastAsia="仿宋_GB2312"/>
          <w:sz w:val="32"/>
          <w:szCs w:val="32"/>
        </w:rPr>
        <w:t>推进矿山固体废弃物的减量化、无害化和资源化利用。鼓励矿山企业对粉煤灰、煤矸石、采矿废石、尾矿和矿坑水、选冶废水的综合利用，加大回收尾矿中的有价值元素，重点加强对存量大、资源化潜力大的矿山固体废弃物的资源化利用，努力降低资源消耗。</w:t>
      </w:r>
    </w:p>
    <w:p>
      <w:pPr>
        <w:spacing w:line="560" w:lineRule="exact"/>
        <w:ind w:firstLine="659" w:firstLineChars="200"/>
        <w:rPr>
          <w:rFonts w:ascii="Times New Roman" w:eastAsia="仿宋_GB2312"/>
          <w:sz w:val="32"/>
          <w:szCs w:val="32"/>
        </w:rPr>
      </w:pPr>
      <w:r>
        <w:rPr>
          <w:rFonts w:ascii="Times New Roman" w:eastAsia="仿宋_GB2312"/>
          <w:b/>
          <w:sz w:val="32"/>
          <w:szCs w:val="32"/>
        </w:rPr>
        <w:t>加强绿色矿业发展。</w:t>
      </w:r>
      <w:r>
        <w:rPr>
          <w:rFonts w:ascii="Times New Roman" w:eastAsia="仿宋_GB2312"/>
          <w:sz w:val="32"/>
          <w:szCs w:val="32"/>
        </w:rPr>
        <w:t>按照“减量化、再利用、资源化”的要求，促进形成有利于节约资源、保护环境的资源开发利用模式，努力提高采、选、冶回采率，逐步形成“低投入、高产出、低消耗、少排放、能循环、可持续”的经济增长方式，促进伊宁县矿业步入绿色发展之路。</w:t>
      </w:r>
    </w:p>
    <w:bookmarkEnd w:id="52"/>
    <w:p>
      <w:pPr>
        <w:spacing w:line="560" w:lineRule="exact"/>
        <w:ind w:firstLine="659" w:firstLineChars="200"/>
        <w:rPr>
          <w:rFonts w:ascii="Times New Roman" w:eastAsia="仿宋_GB2312"/>
          <w:sz w:val="32"/>
          <w:szCs w:val="32"/>
        </w:rPr>
      </w:pPr>
      <w:r>
        <w:rPr>
          <w:rFonts w:ascii="Times New Roman" w:eastAsia="仿宋_GB2312"/>
          <w:b/>
          <w:sz w:val="32"/>
          <w:szCs w:val="32"/>
        </w:rPr>
        <w:t>延长产业链、提高附加值。</w:t>
      </w:r>
      <w:r>
        <w:rPr>
          <w:rFonts w:ascii="Times New Roman" w:eastAsia="仿宋_GB2312"/>
          <w:sz w:val="32"/>
          <w:szCs w:val="32"/>
        </w:rPr>
        <w:t>改善矿产品结构，调整延伸矿产品产业链，实现矿产资源增加附加值</w:t>
      </w:r>
      <w:r>
        <w:rPr>
          <w:rFonts w:hint="eastAsia" w:ascii="Times New Roman" w:eastAsia="仿宋_GB2312"/>
          <w:sz w:val="32"/>
          <w:szCs w:val="32"/>
        </w:rPr>
        <w:t>，</w:t>
      </w:r>
      <w:r>
        <w:rPr>
          <w:rFonts w:ascii="Times New Roman" w:eastAsia="仿宋_GB2312"/>
          <w:sz w:val="32"/>
          <w:szCs w:val="32"/>
        </w:rPr>
        <w:t>加快地区工业结构优化升级，培育壮大支柱产业和优势产业，发展高新技术产业，促进企业生产市场销售对路的产品，延伸矿产品产业链，走深加工之路，提高矿产品的附加值。矿山企业须在开采规模结构、产品结构和技术结构进行调整。最大限度合理利用矿产资源，避免造成浪费和破坏地质环境。发展环保型产品的高科技产品，降低初级矿产品在销售中的比例，加强矿山企业规模化、集团化建设，实现规模经营，逐步提高生产能力、市场竞争力、资源综合利用率和劳动生产率，通过应用高新科技技术和先进技术，改进传统产业结构，逐步实现从高消耗、低效益、粗放型向低消耗、高效益、集约化方向转变。</w:t>
      </w:r>
    </w:p>
    <w:p>
      <w:pPr>
        <w:pStyle w:val="3"/>
        <w:spacing w:before="0" w:beforeLines="0" w:after="0" w:afterLines="0" w:line="560" w:lineRule="exact"/>
        <w:ind w:firstLine="659" w:firstLineChars="200"/>
        <w:jc w:val="both"/>
        <w:rPr>
          <w:rFonts w:ascii="Times New Roman" w:hAnsi="Times New Roman"/>
          <w:szCs w:val="32"/>
        </w:rPr>
      </w:pPr>
      <w:bookmarkStart w:id="53" w:name="_Toc81992882"/>
      <w:bookmarkStart w:id="54" w:name="_Toc130413616"/>
      <w:bookmarkStart w:id="55" w:name="_Toc105969104"/>
      <w:r>
        <w:rPr>
          <w:rFonts w:ascii="Times New Roman" w:hAnsi="Times New Roman" w:eastAsia="楷体"/>
          <w:sz w:val="32"/>
          <w:szCs w:val="32"/>
        </w:rPr>
        <w:t>（五）</w:t>
      </w:r>
      <w:bookmarkEnd w:id="53"/>
      <w:r>
        <w:rPr>
          <w:rFonts w:ascii="Times New Roman" w:hAnsi="Times New Roman" w:eastAsia="楷体"/>
          <w:sz w:val="32"/>
          <w:szCs w:val="32"/>
        </w:rPr>
        <w:t>开发准入退出机制</w:t>
      </w:r>
      <w:bookmarkEnd w:id="54"/>
      <w:bookmarkEnd w:id="55"/>
    </w:p>
    <w:p>
      <w:pPr>
        <w:spacing w:line="560" w:lineRule="exact"/>
        <w:ind w:firstLine="659" w:firstLineChars="200"/>
        <w:rPr>
          <w:rFonts w:ascii="Times New Roman" w:eastAsia="仿宋_GB2312"/>
          <w:sz w:val="32"/>
          <w:szCs w:val="32"/>
        </w:rPr>
      </w:pPr>
      <w:r>
        <w:rPr>
          <w:rFonts w:hint="eastAsia" w:ascii="Times New Roman" w:eastAsia="仿宋_GB2312"/>
          <w:b/>
          <w:sz w:val="32"/>
          <w:szCs w:val="32"/>
        </w:rPr>
        <w:t>严格矿产资源开发准入。</w:t>
      </w:r>
      <w:r>
        <w:rPr>
          <w:rFonts w:ascii="Times New Roman" w:eastAsia="仿宋_GB2312"/>
          <w:sz w:val="32"/>
          <w:szCs w:val="32"/>
        </w:rPr>
        <w:t>严禁在禁止开发区域开采矿产，严禁新设禁止开采矿种采矿权，保护性开采钨、稀土等矿产。严格按照煤炭矿区总规及设置区划，设置煤炭采矿权；新设采矿权需符合开采规划区块设置、主体功能区战略、国土空间规划等相关要求；新建矿山应符合文物、环保、林草、水利、交通等相关部门管理要求，符合《新疆维吾尔自治区重点行业环境准入条件》（2017年1月）管理要求；新建矿山开采规模不低于本规划确定的矿山开采最低规模，矿山开采规模必须与占有的矿产资源储量相适应，须符合规模生产、集约经营的原则，不得大矿小开、一矿多开；相关建设项目，如公路、铁路确需压覆已查明重要矿产资源的，应履行审批程序，办理压覆矿产资源评估手续。</w:t>
      </w:r>
    </w:p>
    <w:p>
      <w:pPr>
        <w:spacing w:line="560" w:lineRule="exact"/>
        <w:ind w:firstLine="656" w:firstLineChars="200"/>
        <w:rPr>
          <w:rFonts w:ascii="Times New Roman" w:eastAsia="仿宋_GB2312"/>
          <w:sz w:val="32"/>
          <w:szCs w:val="32"/>
        </w:rPr>
      </w:pPr>
      <w:r>
        <w:rPr>
          <w:rFonts w:ascii="Times New Roman" w:eastAsia="仿宋_GB2312"/>
          <w:sz w:val="32"/>
          <w:szCs w:val="32"/>
        </w:rPr>
        <w:t>矿山企业应具备法律、法规规定的与其从事矿业活动相适应的资金、技术、装备等资质条件。新建、扩建和延续开采矿山必须符合批准的矿山设计要求，达到自然资源管理部门提出的开发利用水平。矿山开采方式必须符合相应的规范要求和批准的开发利用方案，禁止落后的、破坏和浪费资源的开采方法。</w:t>
      </w:r>
    </w:p>
    <w:p>
      <w:pPr>
        <w:spacing w:line="560" w:lineRule="exact"/>
        <w:ind w:firstLine="656" w:firstLineChars="200"/>
        <w:rPr>
          <w:rFonts w:ascii="Times New Roman" w:eastAsia="仿宋_GB2312"/>
          <w:sz w:val="32"/>
          <w:szCs w:val="32"/>
        </w:rPr>
      </w:pPr>
      <w:r>
        <w:rPr>
          <w:rFonts w:ascii="Times New Roman" w:eastAsia="仿宋_GB2312"/>
          <w:sz w:val="32"/>
          <w:szCs w:val="32"/>
        </w:rPr>
        <w:t>监督企业落实开发利用、矿山地质环境保护与土地复垦方案，开展环境影响评价、水资源论证，确保符合总量控制、资源综合利用、绿色矿山标准等要求。</w:t>
      </w:r>
    </w:p>
    <w:p>
      <w:pPr>
        <w:spacing w:line="560" w:lineRule="exact"/>
        <w:ind w:firstLine="659" w:firstLineChars="200"/>
        <w:rPr>
          <w:rFonts w:ascii="Times New Roman" w:eastAsia="仿宋_GB2312"/>
          <w:sz w:val="32"/>
          <w:szCs w:val="32"/>
        </w:rPr>
      </w:pPr>
      <w:r>
        <w:rPr>
          <w:rFonts w:hint="eastAsia" w:ascii="Times New Roman" w:eastAsia="仿宋_GB2312"/>
          <w:b/>
          <w:sz w:val="32"/>
          <w:szCs w:val="32"/>
        </w:rPr>
        <w:t>完善采矿权退出机制。</w:t>
      </w:r>
      <w:r>
        <w:rPr>
          <w:rFonts w:hint="eastAsia" w:ascii="Times New Roman" w:eastAsia="仿宋_GB2312"/>
          <w:sz w:val="32"/>
          <w:szCs w:val="32"/>
        </w:rPr>
        <w:t>已设合法采矿权，由于公共利益需要、产业政策调整原因需要退出的，按相关规定退出。已设采矿权未达到最低开采规模、安全生产、生态保护、最低“三率”指标等要求，以及采用国家明令淘汰采选技术方法的，责令限期整改，整改后仍未达到要求的，</w:t>
      </w:r>
      <w:r>
        <w:rPr>
          <w:rFonts w:ascii="Times New Roman" w:eastAsia="仿宋_GB2312"/>
          <w:sz w:val="32"/>
          <w:szCs w:val="32"/>
        </w:rPr>
        <w:t>按照有关规定处理。</w:t>
      </w:r>
    </w:p>
    <w:bookmarkEnd w:id="44"/>
    <w:p>
      <w:pPr>
        <w:pStyle w:val="2"/>
        <w:spacing w:before="0" w:beforeLines="0" w:after="0" w:afterLines="0" w:line="560" w:lineRule="exact"/>
        <w:ind w:firstLine="720" w:firstLineChars="200"/>
        <w:jc w:val="both"/>
        <w:rPr>
          <w:rFonts w:ascii="Times New Roman" w:eastAsia="黑体"/>
          <w:b w:val="0"/>
          <w:bCs/>
          <w:sz w:val="36"/>
          <w:szCs w:val="36"/>
        </w:rPr>
      </w:pPr>
      <w:bookmarkStart w:id="56" w:name="_Toc105969105"/>
      <w:bookmarkStart w:id="57" w:name="_Toc130413617"/>
      <w:bookmarkStart w:id="58" w:name="_Toc48120757"/>
      <w:bookmarkStart w:id="59" w:name="_Toc519599975"/>
      <w:bookmarkStart w:id="60" w:name="_Toc519619494"/>
      <w:bookmarkStart w:id="61" w:name="_Toc519619342"/>
      <w:bookmarkStart w:id="62" w:name="_Toc64223705"/>
      <w:r>
        <w:rPr>
          <w:rFonts w:hint="eastAsia" w:ascii="Times New Roman" w:eastAsia="黑体"/>
          <w:b w:val="0"/>
          <w:bCs/>
          <w:sz w:val="36"/>
          <w:szCs w:val="36"/>
        </w:rPr>
        <w:t>五、</w:t>
      </w:r>
      <w:r>
        <w:rPr>
          <w:rFonts w:ascii="Times New Roman" w:eastAsia="黑体"/>
          <w:b w:val="0"/>
          <w:bCs/>
          <w:sz w:val="36"/>
          <w:szCs w:val="36"/>
        </w:rPr>
        <w:t>绿色矿业发展</w:t>
      </w:r>
      <w:bookmarkEnd w:id="56"/>
      <w:bookmarkEnd w:id="57"/>
    </w:p>
    <w:p>
      <w:pPr>
        <w:pStyle w:val="3"/>
        <w:spacing w:before="0" w:beforeLines="0" w:after="0" w:afterLines="0" w:line="560" w:lineRule="exact"/>
        <w:ind w:firstLine="659" w:firstLineChars="200"/>
        <w:jc w:val="both"/>
        <w:rPr>
          <w:rFonts w:ascii="Times New Roman" w:hAnsi="Times New Roman" w:eastAsia="楷体"/>
          <w:sz w:val="32"/>
          <w:szCs w:val="32"/>
        </w:rPr>
      </w:pPr>
      <w:bookmarkStart w:id="63" w:name="_Toc130413618"/>
      <w:bookmarkStart w:id="64" w:name="_Toc105969106"/>
      <w:r>
        <w:rPr>
          <w:rFonts w:ascii="Times New Roman" w:hAnsi="Times New Roman" w:eastAsia="楷体"/>
          <w:sz w:val="32"/>
          <w:szCs w:val="32"/>
        </w:rPr>
        <w:t>（一）绿色勘查</w:t>
      </w:r>
      <w:bookmarkEnd w:id="63"/>
      <w:bookmarkEnd w:id="64"/>
    </w:p>
    <w:p>
      <w:pPr>
        <w:spacing w:line="560" w:lineRule="exact"/>
        <w:ind w:firstLine="659" w:firstLineChars="200"/>
        <w:rPr>
          <w:rFonts w:ascii="Times New Roman" w:eastAsia="仿宋_GB2312"/>
          <w:sz w:val="32"/>
          <w:szCs w:val="32"/>
        </w:rPr>
      </w:pPr>
      <w:r>
        <w:rPr>
          <w:rFonts w:hint="eastAsia" w:ascii="Times New Roman" w:eastAsia="仿宋_GB2312"/>
          <w:b/>
          <w:sz w:val="32"/>
          <w:szCs w:val="32"/>
        </w:rPr>
        <w:t>优化勘查布局，明确绿色勘查调控方向。</w:t>
      </w:r>
      <w:r>
        <w:rPr>
          <w:rFonts w:hint="eastAsia" w:ascii="Times New Roman" w:eastAsia="仿宋_GB2312"/>
          <w:sz w:val="32"/>
          <w:szCs w:val="32"/>
        </w:rPr>
        <w:t>坚持生态优先，避让自然保护区和生态功能区。勘查过程中依法依规办理相关手续。通过绿色勘查技术、工艺的使用，减少矿产勘查对生态环境的影响；通过整装勘查、集中勘查提升勘查质量和水平，提高找矿效率；积极推进绿色勘查示范创新，鼓励和支持社会出资矿产勘查企业走专业化、精准化勘查之路。</w:t>
      </w:r>
    </w:p>
    <w:p>
      <w:pPr>
        <w:spacing w:line="560" w:lineRule="exact"/>
        <w:ind w:firstLine="659" w:firstLineChars="200"/>
        <w:rPr>
          <w:rFonts w:ascii="Times New Roman" w:eastAsia="仿宋_GB2312"/>
          <w:sz w:val="32"/>
          <w:szCs w:val="32"/>
        </w:rPr>
      </w:pPr>
      <w:r>
        <w:rPr>
          <w:rFonts w:hint="eastAsia" w:ascii="Times New Roman" w:eastAsia="仿宋_GB2312"/>
          <w:b/>
          <w:sz w:val="32"/>
          <w:szCs w:val="32"/>
        </w:rPr>
        <w:t>研修勘查规范，积极推广绿色勘查技术。</w:t>
      </w:r>
      <w:r>
        <w:rPr>
          <w:rFonts w:hint="eastAsia" w:ascii="Times New Roman" w:eastAsia="仿宋_GB2312"/>
          <w:sz w:val="32"/>
          <w:szCs w:val="32"/>
        </w:rPr>
        <w:t>推动全区范围的综合勘查，提高找矿效率和经济效益。充分考虑共伴生矿产的综合勘查及储量计算，提高实物工作量的使用效率，推动矿产资源综合勘查、综合评价、综合开发和综合利用，最大限度避免重复勘查对自然环境的干扰。</w:t>
      </w:r>
    </w:p>
    <w:p>
      <w:pPr>
        <w:spacing w:line="560" w:lineRule="exact"/>
        <w:ind w:firstLine="659" w:firstLineChars="200"/>
        <w:rPr>
          <w:rFonts w:ascii="Times New Roman" w:eastAsia="仿宋_GB2312"/>
          <w:sz w:val="32"/>
          <w:szCs w:val="32"/>
        </w:rPr>
      </w:pPr>
      <w:r>
        <w:rPr>
          <w:rFonts w:hint="eastAsia" w:ascii="Times New Roman" w:eastAsia="仿宋_GB2312"/>
          <w:b/>
          <w:sz w:val="32"/>
          <w:szCs w:val="32"/>
        </w:rPr>
        <w:t>推行先进勘查技术，促进区内绿色勘查。</w:t>
      </w:r>
      <w:r>
        <w:rPr>
          <w:rFonts w:hint="eastAsia" w:ascii="Times New Roman" w:eastAsia="仿宋_GB2312"/>
          <w:sz w:val="32"/>
          <w:szCs w:val="32"/>
        </w:rPr>
        <w:t>加强找矿理论与绿色勘查方法研究，减少探矿工程对环境的扰动，加强对自然环境影响较大的勘查手段替代方法的研究和应用。勘查工作结束后对区内受到破坏的自然环境应及时开展治理恢复。</w:t>
      </w:r>
    </w:p>
    <w:p>
      <w:pPr>
        <w:spacing w:line="560" w:lineRule="exact"/>
        <w:ind w:firstLine="659" w:firstLineChars="200"/>
        <w:rPr>
          <w:rFonts w:ascii="Times New Roman" w:eastAsia="仿宋_GB2312"/>
          <w:sz w:val="32"/>
          <w:szCs w:val="32"/>
        </w:rPr>
      </w:pPr>
      <w:r>
        <w:rPr>
          <w:rFonts w:hint="eastAsia" w:ascii="Times New Roman" w:eastAsia="仿宋_GB2312"/>
          <w:b/>
          <w:sz w:val="32"/>
          <w:szCs w:val="32"/>
        </w:rPr>
        <w:t>推广绿色勘查理念，争得社会各界支持。</w:t>
      </w:r>
      <w:r>
        <w:rPr>
          <w:rFonts w:hint="eastAsia" w:ascii="Times New Roman" w:eastAsia="仿宋_GB2312"/>
          <w:sz w:val="32"/>
          <w:szCs w:val="32"/>
        </w:rPr>
        <w:t>充分利用报刊、电视、网络等媒体开展宣传活动，及时报道绿色勘查先进事迹与典型经验，引导矿业权人和勘查单位自觉推进绿色勘查。</w:t>
      </w:r>
    </w:p>
    <w:p>
      <w:pPr>
        <w:pStyle w:val="3"/>
        <w:spacing w:before="0" w:beforeLines="0" w:after="0" w:afterLines="0" w:line="560" w:lineRule="exact"/>
        <w:ind w:firstLine="659" w:firstLineChars="200"/>
        <w:jc w:val="both"/>
        <w:rPr>
          <w:rFonts w:ascii="Times New Roman" w:hAnsi="Times New Roman" w:eastAsia="楷体"/>
          <w:sz w:val="32"/>
          <w:szCs w:val="32"/>
        </w:rPr>
      </w:pPr>
      <w:bookmarkStart w:id="65" w:name="_Toc81992885"/>
      <w:bookmarkStart w:id="66" w:name="_Toc130413619"/>
      <w:r>
        <w:rPr>
          <w:rFonts w:ascii="Times New Roman" w:hAnsi="Times New Roman" w:eastAsia="楷体"/>
          <w:sz w:val="32"/>
          <w:szCs w:val="32"/>
        </w:rPr>
        <w:t>（二）绿色</w:t>
      </w:r>
      <w:bookmarkEnd w:id="58"/>
      <w:bookmarkEnd w:id="59"/>
      <w:bookmarkEnd w:id="60"/>
      <w:bookmarkEnd w:id="61"/>
      <w:bookmarkEnd w:id="62"/>
      <w:bookmarkEnd w:id="65"/>
      <w:r>
        <w:rPr>
          <w:rFonts w:hint="eastAsia" w:ascii="Times New Roman" w:hAnsi="Times New Roman" w:eastAsia="楷体"/>
          <w:sz w:val="32"/>
          <w:szCs w:val="32"/>
        </w:rPr>
        <w:t>矿山建设</w:t>
      </w:r>
      <w:bookmarkEnd w:id="66"/>
    </w:p>
    <w:p>
      <w:pPr>
        <w:spacing w:line="560" w:lineRule="exact"/>
        <w:ind w:firstLine="659" w:firstLineChars="200"/>
        <w:rPr>
          <w:rFonts w:ascii="Times New Roman" w:eastAsia="仿宋_GB2312"/>
          <w:b/>
          <w:sz w:val="32"/>
          <w:szCs w:val="32"/>
        </w:rPr>
      </w:pPr>
      <w:bookmarkStart w:id="67" w:name="_Toc81992887"/>
      <w:r>
        <w:rPr>
          <w:rFonts w:ascii="Times New Roman" w:eastAsia="仿宋_GB2312"/>
          <w:b/>
          <w:sz w:val="32"/>
          <w:szCs w:val="32"/>
        </w:rPr>
        <w:t>总体思路</w:t>
      </w:r>
    </w:p>
    <w:p>
      <w:pPr>
        <w:spacing w:line="560" w:lineRule="exact"/>
        <w:ind w:firstLine="656" w:firstLineChars="200"/>
        <w:rPr>
          <w:rFonts w:ascii="Times New Roman" w:eastAsia="仿宋_GB2312"/>
          <w:sz w:val="32"/>
          <w:szCs w:val="32"/>
        </w:rPr>
      </w:pPr>
      <w:r>
        <w:rPr>
          <w:rFonts w:ascii="Times New Roman" w:eastAsia="仿宋_GB2312"/>
          <w:sz w:val="32"/>
          <w:szCs w:val="32"/>
        </w:rPr>
        <w:t>按照国家转变经济发展增长方式的战略需求和自治区关于建设绿色矿业发展的要求，推进绿色矿山发展，达到构建资源节约型、环境优美型矿山，</w:t>
      </w:r>
      <w:r>
        <w:rPr>
          <w:rFonts w:hint="eastAsia" w:ascii="Times New Roman" w:eastAsia="仿宋_GB2312"/>
          <w:sz w:val="32"/>
          <w:szCs w:val="32"/>
        </w:rPr>
        <w:t>从理念、制度、技术、监管四个方面推动资源绿色开采。</w:t>
      </w:r>
    </w:p>
    <w:p>
      <w:pPr>
        <w:spacing w:line="560" w:lineRule="exact"/>
        <w:ind w:firstLine="659" w:firstLineChars="200"/>
        <w:rPr>
          <w:rFonts w:ascii="Times New Roman" w:eastAsia="仿宋_GB2312"/>
          <w:b/>
          <w:sz w:val="32"/>
          <w:szCs w:val="32"/>
        </w:rPr>
      </w:pPr>
      <w:r>
        <w:rPr>
          <w:rFonts w:ascii="Times New Roman" w:eastAsia="仿宋_GB2312"/>
          <w:b/>
          <w:sz w:val="32"/>
          <w:szCs w:val="32"/>
        </w:rPr>
        <w:t>落实上级绿色矿山建设要求</w:t>
      </w:r>
    </w:p>
    <w:p>
      <w:pPr>
        <w:spacing w:line="560" w:lineRule="exact"/>
        <w:ind w:firstLine="659" w:firstLineChars="200"/>
        <w:rPr>
          <w:rFonts w:ascii="Times New Roman" w:eastAsia="仿宋_GB2312"/>
          <w:sz w:val="32"/>
          <w:szCs w:val="32"/>
        </w:rPr>
      </w:pPr>
      <w:r>
        <w:rPr>
          <w:rFonts w:ascii="Times New Roman" w:eastAsia="仿宋_GB2312"/>
          <w:b/>
          <w:sz w:val="32"/>
          <w:szCs w:val="32"/>
        </w:rPr>
        <w:t>新建矿山</w:t>
      </w:r>
      <w:r>
        <w:rPr>
          <w:rFonts w:hint="eastAsia" w:ascii="Times New Roman" w:eastAsia="仿宋_GB2312"/>
          <w:b/>
          <w:sz w:val="32"/>
          <w:szCs w:val="32"/>
          <w:lang w:eastAsia="zh-CN"/>
        </w:rPr>
        <w:t>：</w:t>
      </w:r>
      <w:r>
        <w:rPr>
          <w:rFonts w:ascii="Times New Roman" w:eastAsia="仿宋_GB2312"/>
          <w:sz w:val="32"/>
          <w:szCs w:val="32"/>
        </w:rPr>
        <w:t>新建矿山在新立采矿权出让过程中，出让机关应对照绿色矿山建设要求和相关标准，在出让合同中明确开发方式、资源利用、矿山地质环境保护与治理恢复、土地复垦等相关要求及违约责任，矿山企业应按照绿色矿山标准要求进行规划、设计、建设和运营管理。</w:t>
      </w:r>
    </w:p>
    <w:p>
      <w:pPr>
        <w:spacing w:line="560" w:lineRule="exact"/>
        <w:ind w:firstLine="659" w:firstLineChars="200"/>
        <w:rPr>
          <w:rFonts w:ascii="Times New Roman" w:eastAsia="仿宋_GB2312"/>
          <w:sz w:val="32"/>
          <w:szCs w:val="32"/>
        </w:rPr>
      </w:pPr>
      <w:r>
        <w:rPr>
          <w:rFonts w:ascii="Times New Roman" w:eastAsia="仿宋_GB2312"/>
          <w:b/>
          <w:sz w:val="32"/>
          <w:szCs w:val="32"/>
        </w:rPr>
        <w:t>生产矿山</w:t>
      </w:r>
      <w:r>
        <w:rPr>
          <w:rFonts w:hint="eastAsia" w:ascii="Times New Roman" w:eastAsia="仿宋_GB2312"/>
          <w:b/>
          <w:sz w:val="32"/>
          <w:szCs w:val="32"/>
          <w:lang w:eastAsia="zh-CN"/>
        </w:rPr>
        <w:t>：</w:t>
      </w:r>
      <w:r>
        <w:rPr>
          <w:rFonts w:ascii="Times New Roman" w:eastAsia="仿宋_GB2312"/>
          <w:sz w:val="32"/>
          <w:szCs w:val="32"/>
        </w:rPr>
        <w:t>生产矿山要因地制宜、结合实际开展绿色矿山规划并加快建设步伐，提升绿色矿山建设标准。</w:t>
      </w:r>
    </w:p>
    <w:p>
      <w:pPr>
        <w:spacing w:line="560" w:lineRule="exact"/>
        <w:ind w:firstLine="659" w:firstLineChars="200"/>
        <w:rPr>
          <w:rFonts w:ascii="Times New Roman" w:eastAsia="仿宋_GB2312"/>
          <w:b/>
          <w:sz w:val="32"/>
          <w:szCs w:val="32"/>
        </w:rPr>
      </w:pPr>
      <w:bookmarkStart w:id="68" w:name="_Toc64223700"/>
      <w:r>
        <w:rPr>
          <w:rFonts w:ascii="Times New Roman" w:eastAsia="仿宋_GB2312"/>
          <w:b/>
          <w:sz w:val="32"/>
          <w:szCs w:val="32"/>
        </w:rPr>
        <w:t>梯次推进绿色矿山建设时序</w:t>
      </w:r>
      <w:bookmarkEnd w:id="68"/>
    </w:p>
    <w:p>
      <w:pPr>
        <w:spacing w:line="560" w:lineRule="exact"/>
        <w:ind w:firstLine="656" w:firstLineChars="200"/>
        <w:rPr>
          <w:rFonts w:ascii="Times New Roman" w:eastAsia="仿宋_GB2312"/>
          <w:sz w:val="32"/>
          <w:szCs w:val="32"/>
        </w:rPr>
      </w:pPr>
      <w:r>
        <w:rPr>
          <w:rFonts w:ascii="Times New Roman" w:eastAsia="仿宋_GB2312"/>
          <w:sz w:val="32"/>
          <w:szCs w:val="32"/>
        </w:rPr>
        <w:t>严格按照国家、自治区绿色矿山建设标准和要求，统筹规划，合理部署，依据</w:t>
      </w:r>
      <w:r>
        <w:rPr>
          <w:rFonts w:hint="eastAsia" w:ascii="Times New Roman" w:eastAsia="仿宋_GB2312"/>
          <w:sz w:val="32"/>
          <w:szCs w:val="32"/>
        </w:rPr>
        <w:t>伊宁县</w:t>
      </w:r>
      <w:r>
        <w:rPr>
          <w:rFonts w:ascii="Times New Roman" w:eastAsia="仿宋_GB2312"/>
          <w:sz w:val="32"/>
          <w:szCs w:val="32"/>
        </w:rPr>
        <w:t>优势矿产资源开发利用实际，分区域、分矿种有序推进绿色矿山建设工作，优先创建各大、中型矿山绿色矿山建设工作。</w:t>
      </w:r>
    </w:p>
    <w:p>
      <w:pPr>
        <w:spacing w:line="560" w:lineRule="exact"/>
        <w:ind w:firstLine="659" w:firstLineChars="200"/>
        <w:rPr>
          <w:rFonts w:ascii="Times New Roman" w:eastAsia="仿宋_GB2312"/>
          <w:sz w:val="32"/>
          <w:szCs w:val="32"/>
        </w:rPr>
      </w:pPr>
      <w:r>
        <w:rPr>
          <w:rFonts w:ascii="Times New Roman" w:eastAsia="仿宋_GB2312"/>
          <w:b/>
          <w:sz w:val="32"/>
          <w:szCs w:val="32"/>
        </w:rPr>
        <w:t>推荐一批绿色矿山。</w:t>
      </w:r>
      <w:r>
        <w:rPr>
          <w:rFonts w:ascii="Times New Roman" w:eastAsia="仿宋_GB2312"/>
          <w:sz w:val="32"/>
          <w:szCs w:val="32"/>
        </w:rPr>
        <w:t>2025年底前，对基本达到绿色矿山建设要求的矿山，对照要求全面整改，加快补齐短板步伐，积极开展自评申报工作，入选国家级绿色矿山名录，同时，推荐建设情况良好的矿山企业申报自治区绿色矿山。</w:t>
      </w:r>
    </w:p>
    <w:p>
      <w:pPr>
        <w:spacing w:line="560" w:lineRule="exact"/>
        <w:ind w:firstLine="659" w:firstLineChars="200"/>
        <w:rPr>
          <w:rFonts w:ascii="Times New Roman" w:eastAsia="仿宋_GB2312"/>
          <w:sz w:val="32"/>
          <w:szCs w:val="32"/>
        </w:rPr>
      </w:pPr>
      <w:r>
        <w:rPr>
          <w:rFonts w:ascii="Times New Roman" w:eastAsia="仿宋_GB2312"/>
          <w:b/>
          <w:sz w:val="32"/>
          <w:szCs w:val="32"/>
        </w:rPr>
        <w:t>培育一批绿色矿山。</w:t>
      </w:r>
      <w:r>
        <w:rPr>
          <w:rFonts w:ascii="Times New Roman" w:eastAsia="仿宋_GB2312"/>
          <w:sz w:val="32"/>
          <w:szCs w:val="32"/>
        </w:rPr>
        <w:t>2025年底前，加强大中型矿山企业、重点矿区、集中开采区内矿山企业及当前建设条件较好的小型矿山企业监管与建设指导工作，尽早纳入自治区级绿色矿山名录。</w:t>
      </w:r>
    </w:p>
    <w:p>
      <w:pPr>
        <w:spacing w:line="560" w:lineRule="exact"/>
        <w:ind w:firstLine="659" w:firstLineChars="200"/>
        <w:rPr>
          <w:rFonts w:ascii="Times New Roman" w:eastAsia="仿宋_GB2312"/>
          <w:sz w:val="32"/>
          <w:szCs w:val="32"/>
        </w:rPr>
      </w:pPr>
      <w:r>
        <w:rPr>
          <w:rFonts w:ascii="Times New Roman" w:eastAsia="仿宋_GB2312"/>
          <w:b/>
          <w:sz w:val="32"/>
          <w:szCs w:val="32"/>
        </w:rPr>
        <w:t>督导一批绿色矿山。</w:t>
      </w:r>
      <w:r>
        <w:rPr>
          <w:rFonts w:ascii="Times New Roman" w:eastAsia="仿宋_GB2312"/>
          <w:sz w:val="32"/>
          <w:szCs w:val="32"/>
        </w:rPr>
        <w:t>对矿山规范化管理薄弱，基础条件较差的小型矿山，在管与扶的基础上，整顿、整改、整合，尽量达到绿色矿山建设要求。</w:t>
      </w:r>
    </w:p>
    <w:p>
      <w:pPr>
        <w:spacing w:line="560" w:lineRule="exact"/>
        <w:ind w:firstLine="659" w:firstLineChars="200"/>
        <w:rPr>
          <w:rFonts w:ascii="Times New Roman" w:eastAsia="仿宋_GB2312"/>
          <w:b/>
          <w:sz w:val="32"/>
          <w:szCs w:val="32"/>
        </w:rPr>
      </w:pPr>
      <w:bookmarkStart w:id="69" w:name="_Toc45806476"/>
      <w:bookmarkStart w:id="70" w:name="_Toc64223704"/>
      <w:r>
        <w:rPr>
          <w:rFonts w:ascii="Times New Roman" w:eastAsia="仿宋_GB2312"/>
          <w:b/>
          <w:sz w:val="32"/>
          <w:szCs w:val="32"/>
        </w:rPr>
        <w:t>落实组织方式</w:t>
      </w:r>
      <w:bookmarkEnd w:id="69"/>
      <w:bookmarkEnd w:id="70"/>
    </w:p>
    <w:p>
      <w:pPr>
        <w:spacing w:line="560" w:lineRule="exact"/>
        <w:ind w:firstLine="659" w:firstLineChars="200"/>
        <w:rPr>
          <w:rFonts w:ascii="Times New Roman" w:eastAsia="仿宋_GB2312"/>
          <w:sz w:val="32"/>
          <w:szCs w:val="32"/>
        </w:rPr>
      </w:pPr>
      <w:r>
        <w:rPr>
          <w:rFonts w:ascii="Times New Roman" w:eastAsia="仿宋_GB2312"/>
          <w:b/>
          <w:sz w:val="32"/>
          <w:szCs w:val="32"/>
        </w:rPr>
        <w:t>制定绿色矿山建设管理办法。</w:t>
      </w:r>
      <w:r>
        <w:rPr>
          <w:rFonts w:ascii="Times New Roman" w:eastAsia="仿宋_GB2312"/>
          <w:sz w:val="32"/>
          <w:szCs w:val="32"/>
        </w:rPr>
        <w:t>申报绿色矿山的采矿权人对照绿色矿山建设要求和行业标准开展自评，自然资源主管部门会同同级生态环境</w:t>
      </w:r>
      <w:r>
        <w:rPr>
          <w:rFonts w:hint="eastAsia" w:ascii="Times New Roman" w:eastAsia="仿宋_GB2312"/>
          <w:sz w:val="32"/>
          <w:szCs w:val="32"/>
        </w:rPr>
        <w:t>、</w:t>
      </w:r>
      <w:r>
        <w:rPr>
          <w:rFonts w:ascii="Times New Roman" w:eastAsia="仿宋_GB2312"/>
          <w:sz w:val="32"/>
          <w:szCs w:val="32"/>
        </w:rPr>
        <w:t>工业和信息化等有关部门，按照“公平、公正、公开”的原则，委托第三方评估机构开展绿色矿山评估。</w:t>
      </w:r>
    </w:p>
    <w:p>
      <w:pPr>
        <w:spacing w:line="560" w:lineRule="exact"/>
        <w:ind w:firstLine="659" w:firstLineChars="200"/>
        <w:rPr>
          <w:rFonts w:ascii="Times New Roman" w:eastAsia="仿宋_GB2312"/>
          <w:sz w:val="32"/>
          <w:szCs w:val="32"/>
        </w:rPr>
      </w:pPr>
      <w:r>
        <w:rPr>
          <w:rFonts w:ascii="Times New Roman" w:eastAsia="仿宋_GB2312"/>
          <w:b/>
          <w:sz w:val="32"/>
          <w:szCs w:val="32"/>
        </w:rPr>
        <w:t>严格实行绿色矿山检查办法。</w:t>
      </w:r>
      <w:r>
        <w:rPr>
          <w:rFonts w:ascii="Times New Roman" w:eastAsia="仿宋_GB2312"/>
          <w:sz w:val="32"/>
          <w:szCs w:val="32"/>
        </w:rPr>
        <w:t>各级自然资源主管部门应当按照“双随机、一公开”的方式对纳入绿色矿山名录的采矿权人进行检查，确定抽查对象</w:t>
      </w:r>
      <w:r>
        <w:rPr>
          <w:rFonts w:hint="eastAsia" w:ascii="Times New Roman" w:eastAsia="仿宋_GB2312"/>
          <w:sz w:val="32"/>
          <w:szCs w:val="32"/>
        </w:rPr>
        <w:t>，</w:t>
      </w:r>
      <w:r>
        <w:rPr>
          <w:rFonts w:ascii="Times New Roman" w:eastAsia="仿宋_GB2312"/>
          <w:sz w:val="32"/>
          <w:szCs w:val="32"/>
        </w:rPr>
        <w:t>检查结果向社会公告。</w:t>
      </w:r>
    </w:p>
    <w:p>
      <w:pPr>
        <w:spacing w:line="560" w:lineRule="exact"/>
        <w:ind w:firstLine="659" w:firstLineChars="200"/>
        <w:rPr>
          <w:rFonts w:ascii="Times New Roman" w:eastAsia="仿宋_GB2312"/>
          <w:sz w:val="32"/>
          <w:szCs w:val="32"/>
        </w:rPr>
      </w:pPr>
      <w:r>
        <w:rPr>
          <w:rFonts w:ascii="Times New Roman" w:eastAsia="仿宋_GB2312"/>
          <w:b/>
          <w:sz w:val="32"/>
          <w:szCs w:val="32"/>
        </w:rPr>
        <w:t>加强绿色矿山监督管理。</w:t>
      </w:r>
      <w:r>
        <w:rPr>
          <w:rFonts w:ascii="Times New Roman" w:eastAsia="仿宋_GB2312"/>
          <w:sz w:val="32"/>
          <w:szCs w:val="32"/>
        </w:rPr>
        <w:t>纳入绿色矿山名录的采矿权人应当持续开展绿色矿山维护，确保相关指标符合绿色矿山建设要求。</w:t>
      </w:r>
    </w:p>
    <w:p>
      <w:pPr>
        <w:spacing w:line="560" w:lineRule="exact"/>
        <w:ind w:firstLine="659" w:firstLineChars="200"/>
        <w:rPr>
          <w:rFonts w:ascii="Times New Roman" w:eastAsia="仿宋_GB2312"/>
          <w:sz w:val="32"/>
          <w:szCs w:val="32"/>
        </w:rPr>
      </w:pPr>
      <w:r>
        <w:rPr>
          <w:rFonts w:ascii="Times New Roman" w:eastAsia="仿宋_GB2312"/>
          <w:b/>
          <w:sz w:val="32"/>
          <w:szCs w:val="32"/>
        </w:rPr>
        <w:t>加强社会舆论监督。</w:t>
      </w:r>
      <w:r>
        <w:rPr>
          <w:rFonts w:ascii="Times New Roman" w:eastAsia="仿宋_GB2312"/>
          <w:sz w:val="32"/>
          <w:szCs w:val="32"/>
        </w:rPr>
        <w:t>绿色矿山评估后，符合绿色矿山建设要求的矿山，经人民政府同意，</w:t>
      </w:r>
      <w:r>
        <w:rPr>
          <w:rFonts w:hint="eastAsia" w:ascii="Times New Roman" w:eastAsia="仿宋_GB2312"/>
          <w:sz w:val="32"/>
          <w:szCs w:val="32"/>
        </w:rPr>
        <w:t>通过全国绿色矿山名录管理系统上报至州自然资源主管部门并在相关媒体上予以公示，接受社会监督</w:t>
      </w:r>
      <w:r>
        <w:rPr>
          <w:rFonts w:hint="eastAsia"/>
        </w:rPr>
        <w:t>。</w:t>
      </w:r>
    </w:p>
    <w:p>
      <w:pPr>
        <w:pStyle w:val="3"/>
        <w:spacing w:before="0" w:beforeLines="0" w:after="0" w:afterLines="0" w:line="560" w:lineRule="exact"/>
        <w:ind w:firstLine="659" w:firstLineChars="200"/>
        <w:jc w:val="both"/>
        <w:rPr>
          <w:rFonts w:ascii="Times New Roman" w:hAnsi="Times New Roman" w:eastAsia="楷体"/>
          <w:sz w:val="32"/>
          <w:szCs w:val="32"/>
        </w:rPr>
      </w:pPr>
      <w:bookmarkStart w:id="71" w:name="_Toc130413620"/>
      <w:r>
        <w:rPr>
          <w:rFonts w:ascii="Times New Roman" w:hAnsi="Times New Roman" w:eastAsia="楷体"/>
          <w:sz w:val="32"/>
          <w:szCs w:val="32"/>
        </w:rPr>
        <w:t>（</w:t>
      </w:r>
      <w:r>
        <w:rPr>
          <w:rFonts w:hint="eastAsia" w:ascii="Times New Roman" w:hAnsi="Times New Roman" w:eastAsia="楷体"/>
          <w:sz w:val="32"/>
          <w:szCs w:val="32"/>
        </w:rPr>
        <w:t>三</w:t>
      </w:r>
      <w:r>
        <w:rPr>
          <w:rFonts w:ascii="Times New Roman" w:hAnsi="Times New Roman" w:eastAsia="楷体"/>
          <w:sz w:val="32"/>
          <w:szCs w:val="32"/>
        </w:rPr>
        <w:t>）智能矿山</w:t>
      </w:r>
      <w:bookmarkEnd w:id="67"/>
      <w:bookmarkEnd w:id="71"/>
    </w:p>
    <w:p>
      <w:pPr>
        <w:spacing w:line="560" w:lineRule="exact"/>
        <w:ind w:firstLine="656" w:firstLineChars="200"/>
        <w:rPr>
          <w:rFonts w:ascii="Times New Roman" w:eastAsia="仿宋_GB2312"/>
          <w:sz w:val="32"/>
          <w:szCs w:val="32"/>
        </w:rPr>
      </w:pPr>
      <w:r>
        <w:rPr>
          <w:rFonts w:ascii="Times New Roman" w:eastAsia="仿宋_GB2312"/>
          <w:sz w:val="32"/>
          <w:szCs w:val="32"/>
        </w:rPr>
        <w:t>推进煤炭、金矿等大中型矿山企业的智能矿山、数据车间、数字矿山和智慧园区建设，提升智能化水平。推进矿业先进技术装备的研发与应用，以数字化、智能化、自动化采矿装备为核心，以智能设计与生产管理软件系统为平台，对矿山生产对象和过程进行实时、动态、智能化监测与控制，实现矿山开采的安全、高效、经济和效益最大化。</w:t>
      </w:r>
    </w:p>
    <w:p>
      <w:pPr>
        <w:pStyle w:val="3"/>
        <w:spacing w:before="0" w:beforeLines="0" w:after="0" w:afterLines="0" w:line="560" w:lineRule="exact"/>
        <w:ind w:firstLine="659" w:firstLineChars="200"/>
        <w:jc w:val="both"/>
        <w:rPr>
          <w:rFonts w:ascii="Times New Roman" w:hAnsi="Times New Roman" w:eastAsia="楷体"/>
          <w:sz w:val="32"/>
          <w:szCs w:val="32"/>
        </w:rPr>
      </w:pPr>
      <w:bookmarkStart w:id="72" w:name="_Toc130413621"/>
      <w:bookmarkStart w:id="73" w:name="_Toc81992888"/>
      <w:r>
        <w:rPr>
          <w:rFonts w:ascii="Times New Roman" w:hAnsi="Times New Roman" w:eastAsia="楷体"/>
          <w:sz w:val="32"/>
          <w:szCs w:val="32"/>
        </w:rPr>
        <w:t>（</w:t>
      </w:r>
      <w:r>
        <w:rPr>
          <w:rFonts w:hint="eastAsia" w:ascii="Times New Roman" w:hAnsi="Times New Roman" w:eastAsia="楷体"/>
          <w:sz w:val="32"/>
          <w:szCs w:val="32"/>
        </w:rPr>
        <w:t>四</w:t>
      </w:r>
      <w:r>
        <w:rPr>
          <w:rFonts w:ascii="Times New Roman" w:hAnsi="Times New Roman" w:eastAsia="楷体"/>
          <w:sz w:val="32"/>
          <w:szCs w:val="32"/>
        </w:rPr>
        <w:t>）矿山生态保护修复</w:t>
      </w:r>
      <w:bookmarkEnd w:id="72"/>
      <w:bookmarkEnd w:id="73"/>
    </w:p>
    <w:p>
      <w:pPr>
        <w:spacing w:line="560" w:lineRule="exact"/>
        <w:ind w:firstLine="659" w:firstLineChars="200"/>
        <w:rPr>
          <w:rFonts w:ascii="Times New Roman" w:eastAsia="仿宋_GB2312"/>
          <w:b/>
          <w:sz w:val="32"/>
          <w:szCs w:val="32"/>
        </w:rPr>
      </w:pPr>
      <w:r>
        <w:rPr>
          <w:rFonts w:ascii="Times New Roman" w:eastAsia="仿宋_GB2312"/>
          <w:b/>
          <w:sz w:val="32"/>
          <w:szCs w:val="32"/>
        </w:rPr>
        <w:t>加强矿山地质环境保护。</w:t>
      </w:r>
    </w:p>
    <w:p>
      <w:pPr>
        <w:spacing w:line="560" w:lineRule="exact"/>
        <w:ind w:firstLine="659" w:firstLineChars="200"/>
        <w:rPr>
          <w:rFonts w:ascii="Times New Roman" w:eastAsia="仿宋_GB2312"/>
          <w:sz w:val="32"/>
          <w:szCs w:val="32"/>
        </w:rPr>
      </w:pPr>
      <w:r>
        <w:rPr>
          <w:rFonts w:ascii="Times New Roman" w:eastAsia="仿宋_GB2312"/>
          <w:b/>
          <w:sz w:val="32"/>
          <w:szCs w:val="32"/>
        </w:rPr>
        <w:t>新建矿山。</w:t>
      </w:r>
      <w:r>
        <w:rPr>
          <w:rFonts w:ascii="Times New Roman" w:eastAsia="仿宋_GB2312"/>
          <w:sz w:val="32"/>
          <w:szCs w:val="32"/>
        </w:rPr>
        <w:t>必须符合矿产资源开发的环境准入条件，即必须具备经行政主管部门审批的矿山环境影响报告</w:t>
      </w:r>
      <w:r>
        <w:rPr>
          <w:rFonts w:hint="eastAsia" w:ascii="Times New Roman" w:eastAsia="仿宋_GB2312"/>
          <w:sz w:val="32"/>
          <w:szCs w:val="32"/>
        </w:rPr>
        <w:t>以及</w:t>
      </w:r>
      <w:r>
        <w:rPr>
          <w:rFonts w:ascii="Times New Roman" w:eastAsia="仿宋_GB2312"/>
          <w:sz w:val="32"/>
          <w:szCs w:val="32"/>
        </w:rPr>
        <w:t>矿山地质环境保护和土地复垦方案，并依法设立矿山地质环境治理恢复基金。经审查，若采矿活动对环境影响和破坏较大或遭破坏后难以恢复治理，则实行环境一票否决制。严格实施“谁开发，谁保护</w:t>
      </w:r>
      <w:r>
        <w:rPr>
          <w:rFonts w:hint="eastAsia" w:ascii="Times New Roman" w:eastAsia="仿宋_GB2312"/>
          <w:sz w:val="32"/>
          <w:szCs w:val="32"/>
          <w:lang w:eastAsia="zh-CN"/>
        </w:rPr>
        <w:t>”“</w:t>
      </w:r>
      <w:r>
        <w:rPr>
          <w:rFonts w:ascii="Times New Roman" w:eastAsia="仿宋_GB2312"/>
          <w:sz w:val="32"/>
          <w:szCs w:val="32"/>
        </w:rPr>
        <w:t>谁污染，谁治理</w:t>
      </w:r>
      <w:r>
        <w:rPr>
          <w:rFonts w:hint="eastAsia" w:ascii="Times New Roman" w:eastAsia="仿宋_GB2312"/>
          <w:sz w:val="32"/>
          <w:szCs w:val="32"/>
          <w:lang w:eastAsia="zh-CN"/>
        </w:rPr>
        <w:t>”“</w:t>
      </w:r>
      <w:r>
        <w:rPr>
          <w:rFonts w:ascii="Times New Roman" w:eastAsia="仿宋_GB2312"/>
          <w:sz w:val="32"/>
          <w:szCs w:val="32"/>
        </w:rPr>
        <w:t>谁破坏，谁恢复”的原则，落实矿山环境保护和修复责任制。矿山在建设过程中，应严格执行“三同时”制度。大中型新建矿山应建立矿山地质环境保护监测机构。禁止在生态红线范围内开采矿产资源。</w:t>
      </w:r>
    </w:p>
    <w:p>
      <w:pPr>
        <w:spacing w:line="560" w:lineRule="exact"/>
        <w:ind w:firstLine="659" w:firstLineChars="200"/>
        <w:rPr>
          <w:rFonts w:ascii="Times New Roman" w:eastAsia="仿宋_GB2312"/>
          <w:sz w:val="32"/>
          <w:szCs w:val="32"/>
        </w:rPr>
      </w:pPr>
      <w:r>
        <w:rPr>
          <w:rFonts w:ascii="Times New Roman" w:eastAsia="仿宋_GB2312"/>
          <w:b/>
          <w:sz w:val="32"/>
          <w:szCs w:val="32"/>
        </w:rPr>
        <w:t>改、扩建矿山。</w:t>
      </w:r>
      <w:r>
        <w:rPr>
          <w:rFonts w:ascii="Times New Roman" w:eastAsia="仿宋_GB2312"/>
          <w:sz w:val="32"/>
          <w:szCs w:val="32"/>
        </w:rPr>
        <w:t>坚持矿产资源开发与地质环境保护并重的原则，落实矿山地质环境保护和恢复责任制，设立矿山地质环境治理恢复基金。矿山在改、扩建过程中，应严格执行“三同时”原则。矿业“三废”排放</w:t>
      </w:r>
      <w:r>
        <w:rPr>
          <w:rFonts w:hint="eastAsia" w:ascii="Times New Roman" w:eastAsia="仿宋_GB2312"/>
          <w:sz w:val="32"/>
          <w:szCs w:val="32"/>
        </w:rPr>
        <w:t>达到环保要求</w:t>
      </w:r>
      <w:r>
        <w:rPr>
          <w:rFonts w:ascii="Times New Roman" w:eastAsia="仿宋_GB2312"/>
          <w:sz w:val="32"/>
          <w:szCs w:val="32"/>
        </w:rPr>
        <w:t>。大中型矿山应建立矿山地质环境保护监测机构。</w:t>
      </w:r>
    </w:p>
    <w:p>
      <w:pPr>
        <w:spacing w:line="560" w:lineRule="exact"/>
        <w:ind w:firstLine="659" w:firstLineChars="200"/>
        <w:rPr>
          <w:rFonts w:ascii="Times New Roman" w:eastAsia="仿宋_GB2312"/>
          <w:sz w:val="32"/>
          <w:szCs w:val="32"/>
        </w:rPr>
      </w:pPr>
      <w:r>
        <w:rPr>
          <w:rFonts w:ascii="Times New Roman" w:eastAsia="仿宋_GB2312"/>
          <w:b/>
          <w:sz w:val="32"/>
          <w:szCs w:val="32"/>
        </w:rPr>
        <w:t>生产矿山。</w:t>
      </w:r>
      <w:r>
        <w:rPr>
          <w:rFonts w:ascii="Times New Roman" w:eastAsia="仿宋_GB2312"/>
          <w:sz w:val="32"/>
          <w:szCs w:val="32"/>
        </w:rPr>
        <w:t>矿山应编制矿山地质环境保护与土地复垦方案，落实矿山地质环境保护和恢复责任制。矿业固体废弃物、废水及废气应按相关标准和规定处理达标后排放。矿山对矿业活动引发的地质灾害应积极治理。矿山生产中必须做到边生产、边恢复。</w:t>
      </w:r>
    </w:p>
    <w:p>
      <w:pPr>
        <w:spacing w:line="560" w:lineRule="exact"/>
        <w:ind w:firstLine="659" w:firstLineChars="200"/>
        <w:rPr>
          <w:rFonts w:ascii="Times New Roman" w:eastAsia="仿宋_GB2312"/>
          <w:sz w:val="32"/>
          <w:szCs w:val="32"/>
        </w:rPr>
      </w:pPr>
      <w:r>
        <w:rPr>
          <w:rFonts w:ascii="Times New Roman" w:eastAsia="仿宋_GB2312"/>
          <w:b/>
          <w:sz w:val="32"/>
          <w:szCs w:val="32"/>
        </w:rPr>
        <w:t>闭坑矿山。</w:t>
      </w:r>
      <w:r>
        <w:rPr>
          <w:rFonts w:ascii="Times New Roman" w:eastAsia="仿宋_GB2312"/>
          <w:sz w:val="32"/>
          <w:szCs w:val="32"/>
        </w:rPr>
        <w:t>严格矿山闭坑报告的审查和报批制度。矿山应做好矿业固体废弃物、废水的污染整治，并限期做好矿山土地复垦和因采矿诱发的地质灾害的综合治理，对矿山损毁的土地要因地制宜恢复。对未达到闭坑要求的采矿权人，不再</w:t>
      </w:r>
      <w:r>
        <w:rPr>
          <w:rFonts w:hint="eastAsia" w:ascii="Times New Roman" w:eastAsia="仿宋_GB2312"/>
          <w:sz w:val="32"/>
          <w:szCs w:val="32"/>
        </w:rPr>
        <w:t>公开出让</w:t>
      </w:r>
      <w:r>
        <w:rPr>
          <w:rFonts w:ascii="Times New Roman" w:eastAsia="仿宋_GB2312"/>
          <w:sz w:val="32"/>
          <w:szCs w:val="32"/>
        </w:rPr>
        <w:t>新的采矿权。</w:t>
      </w:r>
    </w:p>
    <w:p>
      <w:pPr>
        <w:spacing w:line="560" w:lineRule="exact"/>
        <w:ind w:firstLine="659" w:firstLineChars="200"/>
        <w:rPr>
          <w:rFonts w:ascii="Times New Roman" w:eastAsia="仿宋_GB2312"/>
          <w:sz w:val="32"/>
          <w:szCs w:val="32"/>
        </w:rPr>
      </w:pPr>
      <w:r>
        <w:rPr>
          <w:rFonts w:hint="eastAsia" w:ascii="Times New Roman" w:eastAsia="仿宋_GB2312"/>
          <w:b/>
          <w:sz w:val="32"/>
          <w:szCs w:val="32"/>
        </w:rPr>
        <w:t>废弃矿山。</w:t>
      </w:r>
      <w:r>
        <w:rPr>
          <w:rFonts w:hint="eastAsia" w:ascii="Times New Roman" w:eastAsia="仿宋_GB2312"/>
          <w:sz w:val="32"/>
          <w:szCs w:val="32"/>
        </w:rPr>
        <w:t>借助中央资金、地方资金、社会资金，完成历史遗留废弃矿山的生态修复工作。</w:t>
      </w:r>
    </w:p>
    <w:p>
      <w:pPr>
        <w:spacing w:line="560" w:lineRule="exact"/>
        <w:ind w:firstLine="480"/>
        <w:rPr>
          <w:rFonts w:ascii="Times New Roman" w:eastAsia="仿宋_GB2312"/>
          <w:sz w:val="32"/>
          <w:szCs w:val="32"/>
        </w:rPr>
      </w:pPr>
      <w:bookmarkStart w:id="74" w:name="_Toc64223713"/>
      <w:r>
        <w:rPr>
          <w:rFonts w:ascii="Times New Roman" w:eastAsia="仿宋_GB2312"/>
          <w:b/>
          <w:sz w:val="32"/>
          <w:szCs w:val="32"/>
        </w:rPr>
        <w:t>利用市场化机制推进矿山生态修复</w:t>
      </w:r>
      <w:bookmarkEnd w:id="74"/>
      <w:r>
        <w:rPr>
          <w:rFonts w:ascii="Times New Roman" w:eastAsia="仿宋_GB2312"/>
          <w:b/>
          <w:sz w:val="32"/>
          <w:szCs w:val="32"/>
        </w:rPr>
        <w:t>。</w:t>
      </w:r>
      <w:bookmarkStart w:id="75" w:name="_Hlk82427629"/>
      <w:r>
        <w:rPr>
          <w:rFonts w:ascii="Times New Roman" w:eastAsia="仿宋_GB2312"/>
          <w:sz w:val="32"/>
          <w:szCs w:val="32"/>
        </w:rPr>
        <w:t>统筹考虑矿山生态系统修复和后续资源开发利用、产业发展。通过政策激励，吸引各方投入，推行市场化运作、科学化治理的模式，加快推进矿山生态修复，鼓励和吸引社会资金投入，促进生态效益、社会效益和经济效益相统一。</w:t>
      </w:r>
    </w:p>
    <w:p>
      <w:pPr>
        <w:spacing w:line="560" w:lineRule="exact"/>
        <w:ind w:firstLine="482"/>
        <w:rPr>
          <w:rFonts w:ascii="Times New Roman" w:eastAsia="仿宋_GB2312"/>
          <w:b/>
          <w:bCs/>
          <w:sz w:val="32"/>
          <w:szCs w:val="32"/>
        </w:rPr>
      </w:pPr>
      <w:r>
        <w:rPr>
          <w:rFonts w:ascii="Times New Roman" w:eastAsia="仿宋_GB2312"/>
          <w:b/>
          <w:bCs/>
          <w:sz w:val="32"/>
          <w:szCs w:val="32"/>
        </w:rPr>
        <w:t>创新矿山地质环境治理恢复基金工作机制。</w:t>
      </w:r>
      <w:bookmarkEnd w:id="75"/>
    </w:p>
    <w:p>
      <w:pPr>
        <w:spacing w:line="560" w:lineRule="exact"/>
        <w:ind w:firstLine="659" w:firstLineChars="200"/>
        <w:rPr>
          <w:rFonts w:ascii="Times New Roman" w:eastAsia="仿宋_GB2312"/>
          <w:sz w:val="32"/>
          <w:szCs w:val="32"/>
        </w:rPr>
      </w:pPr>
      <w:r>
        <w:rPr>
          <w:rFonts w:hint="eastAsia" w:ascii="Times New Roman" w:eastAsia="仿宋_GB2312"/>
          <w:b/>
          <w:bCs/>
          <w:sz w:val="32"/>
          <w:szCs w:val="32"/>
        </w:rPr>
        <w:t>落实</w:t>
      </w:r>
      <w:r>
        <w:rPr>
          <w:rFonts w:ascii="Times New Roman" w:eastAsia="仿宋_GB2312"/>
          <w:b/>
          <w:bCs/>
          <w:sz w:val="32"/>
          <w:szCs w:val="32"/>
        </w:rPr>
        <w:t>基金管理办法。</w:t>
      </w:r>
      <w:r>
        <w:rPr>
          <w:rFonts w:ascii="Times New Roman" w:eastAsia="仿宋_GB2312"/>
          <w:sz w:val="32"/>
          <w:szCs w:val="32"/>
        </w:rPr>
        <w:t>落实自治区基金管理相关要求，在本区从事矿产资源开采活动的采矿权人，均应按照规定设立矿山地质环境治理恢复基金，按照“谁破坏、谁治理”的原则，开展矿山地质环境治理恢复工作。矿山所在地人民政府应督促矿山企业坚持“生态优先、绿色发展”的理念，边生产边治理，切实承担矿山地质环境保护、治理、恢复、监测和土地复垦的主体责任，提升矿山整体环境水平，推进绿色矿山创建，促进生态文明建设和可持续发展。</w:t>
      </w:r>
    </w:p>
    <w:p>
      <w:pPr>
        <w:spacing w:line="560" w:lineRule="exact"/>
        <w:ind w:firstLine="482"/>
        <w:rPr>
          <w:rFonts w:ascii="Times New Roman"/>
          <w:sz w:val="32"/>
        </w:rPr>
      </w:pPr>
      <w:r>
        <w:rPr>
          <w:rFonts w:ascii="Times New Roman" w:eastAsia="仿宋_GB2312"/>
          <w:b/>
          <w:bCs/>
          <w:sz w:val="32"/>
          <w:szCs w:val="32"/>
        </w:rPr>
        <w:t>加强基金监督管理。</w:t>
      </w:r>
      <w:r>
        <w:rPr>
          <w:rFonts w:ascii="Times New Roman"/>
          <w:sz w:val="32"/>
        </w:rPr>
        <w:t>矿山企业按要求完成矿山地质环境治理恢复与土地复垦工作，向自然资源主管部门提出验收的书面申请，并提交</w:t>
      </w:r>
      <w:r>
        <w:rPr>
          <w:rFonts w:hint="eastAsia" w:ascii="Times New Roman"/>
          <w:sz w:val="32"/>
        </w:rPr>
        <w:t>相关报告</w:t>
      </w:r>
      <w:r>
        <w:rPr>
          <w:rFonts w:ascii="Times New Roman"/>
          <w:sz w:val="32"/>
        </w:rPr>
        <w:t>等资料。自然资源主管部门应当会同同级生态环境主管部门组织验收，并将有关情况向采矿权登记机关报备。自然资源主管部门会同本级财政、生态环境主管部门，每年对本辖区所有矿山的矿山地质环境治理恢复基金提计、使用及治理恢复等情况，按照“双随机、一公开”的方式进行动态监督检查，并纳入矿业权人勘查开采信息公示系统。</w:t>
      </w:r>
    </w:p>
    <w:p>
      <w:pPr>
        <w:spacing w:line="560" w:lineRule="exact"/>
        <w:ind w:firstLine="482"/>
        <w:rPr>
          <w:rFonts w:ascii="Times New Roman" w:eastAsia="仿宋_GB2312"/>
          <w:b/>
          <w:bCs/>
          <w:sz w:val="32"/>
          <w:szCs w:val="32"/>
        </w:rPr>
      </w:pPr>
      <w:r>
        <w:rPr>
          <w:rFonts w:hint="eastAsia" w:ascii="Times New Roman" w:eastAsia="仿宋_GB2312"/>
          <w:b/>
          <w:bCs/>
          <w:sz w:val="32"/>
          <w:szCs w:val="32"/>
        </w:rPr>
        <w:t>落实自治区“三案合一”要求。</w:t>
      </w:r>
    </w:p>
    <w:p>
      <w:pPr>
        <w:spacing w:line="560" w:lineRule="exact"/>
        <w:ind w:firstLine="482"/>
        <w:rPr>
          <w:rFonts w:ascii="Times New Roman"/>
          <w:sz w:val="32"/>
        </w:rPr>
      </w:pPr>
      <w:r>
        <w:rPr>
          <w:rFonts w:hint="eastAsia" w:ascii="Times New Roman"/>
          <w:sz w:val="32"/>
        </w:rPr>
        <w:t>对新立采矿权，范围、生产规模、开采方式、开采矿种发生变更以及原评审通过的方案试用期届满的采矿权，将《矿产资源开发利用方案》《矿山地质环境保护与土地复垦方案》合并为《矿产资源开发利用与生态保护修复方案》。</w:t>
      </w:r>
    </w:p>
    <w:p>
      <w:pPr>
        <w:pStyle w:val="2"/>
        <w:spacing w:before="0" w:beforeLines="0" w:after="0" w:afterLines="0" w:line="560" w:lineRule="exact"/>
        <w:ind w:left="1440" w:hanging="720"/>
        <w:jc w:val="both"/>
        <w:rPr>
          <w:rFonts w:ascii="Times New Roman" w:eastAsia="黑体"/>
          <w:b w:val="0"/>
          <w:bCs/>
          <w:sz w:val="36"/>
          <w:szCs w:val="36"/>
        </w:rPr>
      </w:pPr>
      <w:bookmarkStart w:id="76" w:name="_Toc81992889"/>
      <w:bookmarkStart w:id="77" w:name="_Toc130413622"/>
      <w:r>
        <w:rPr>
          <w:rFonts w:hint="eastAsia" w:ascii="Times New Roman" w:eastAsia="黑体"/>
          <w:b w:val="0"/>
          <w:bCs/>
          <w:sz w:val="36"/>
          <w:szCs w:val="36"/>
        </w:rPr>
        <w:t>六</w:t>
      </w:r>
      <w:r>
        <w:rPr>
          <w:rFonts w:ascii="Times New Roman" w:eastAsia="黑体"/>
          <w:b w:val="0"/>
          <w:bCs/>
          <w:sz w:val="36"/>
          <w:szCs w:val="36"/>
        </w:rPr>
        <w:t>、重点项目</w:t>
      </w:r>
      <w:bookmarkEnd w:id="76"/>
      <w:bookmarkEnd w:id="77"/>
    </w:p>
    <w:p>
      <w:pPr>
        <w:spacing w:line="560" w:lineRule="exact"/>
        <w:ind w:firstLine="659" w:firstLineChars="200"/>
        <w:rPr>
          <w:rFonts w:ascii="Times New Roman"/>
          <w:sz w:val="32"/>
          <w:szCs w:val="32"/>
        </w:rPr>
      </w:pPr>
      <w:r>
        <w:rPr>
          <w:rFonts w:ascii="Times New Roman" w:eastAsia="仿宋_GB2312"/>
          <w:b/>
          <w:bCs/>
          <w:sz w:val="32"/>
          <w:szCs w:val="32"/>
        </w:rPr>
        <w:t>基础性公益地质调查项目。</w:t>
      </w:r>
      <w:r>
        <w:rPr>
          <w:rFonts w:ascii="Times New Roman" w:eastAsia="仿宋_GB2312"/>
          <w:sz w:val="32"/>
          <w:szCs w:val="32"/>
        </w:rPr>
        <w:t>按照</w:t>
      </w:r>
      <w:r>
        <w:rPr>
          <w:rFonts w:hint="eastAsia" w:ascii="Times New Roman" w:eastAsia="仿宋_GB2312"/>
          <w:sz w:val="32"/>
          <w:szCs w:val="32"/>
        </w:rPr>
        <w:t>国家发展重大需求</w:t>
      </w:r>
      <w:r>
        <w:rPr>
          <w:rFonts w:ascii="Times New Roman" w:eastAsia="仿宋_GB2312"/>
          <w:sz w:val="32"/>
          <w:szCs w:val="32"/>
        </w:rPr>
        <w:t>和</w:t>
      </w:r>
      <w:r>
        <w:rPr>
          <w:rFonts w:hint="eastAsia" w:ascii="Times New Roman" w:eastAsia="仿宋_GB2312"/>
          <w:sz w:val="32"/>
          <w:szCs w:val="32"/>
        </w:rPr>
        <w:t>伊宁县</w:t>
      </w:r>
      <w:r>
        <w:rPr>
          <w:rFonts w:ascii="Times New Roman" w:eastAsia="仿宋_GB2312"/>
          <w:sz w:val="32"/>
          <w:szCs w:val="32"/>
        </w:rPr>
        <w:t>的实际需要，提高新常态下基础地质调查工作结构调整、转型升级和对经济社会发展的保障能力，为保障能源和资源安全提供强有力的技术支撑和公益服务。积极申请国家和</w:t>
      </w:r>
      <w:r>
        <w:rPr>
          <w:rFonts w:hint="eastAsia" w:ascii="Times New Roman" w:eastAsia="仿宋_GB2312"/>
          <w:sz w:val="32"/>
          <w:szCs w:val="32"/>
        </w:rPr>
        <w:t>自治区</w:t>
      </w:r>
      <w:r>
        <w:rPr>
          <w:rFonts w:ascii="Times New Roman" w:eastAsia="仿宋_GB2312"/>
          <w:sz w:val="32"/>
          <w:szCs w:val="32"/>
        </w:rPr>
        <w:t>财政资金支持并纳入财政预算，以项目作为工程计划支撑点，切实将工程计划</w:t>
      </w:r>
      <w:r>
        <w:rPr>
          <w:rFonts w:hint="eastAsia" w:ascii="Times New Roman" w:eastAsia="仿宋_GB2312"/>
          <w:sz w:val="32"/>
          <w:szCs w:val="32"/>
          <w:lang w:eastAsia="zh-CN"/>
        </w:rPr>
        <w:t>落到实处</w:t>
      </w:r>
      <w:r>
        <w:rPr>
          <w:rFonts w:ascii="Times New Roman" w:eastAsia="仿宋_GB2312"/>
          <w:sz w:val="32"/>
          <w:szCs w:val="32"/>
        </w:rPr>
        <w:t>。</w:t>
      </w:r>
    </w:p>
    <w:tbl>
      <w:tblPr>
        <w:tblStyle w:val="3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tcPr>
          <w:p>
            <w:pPr>
              <w:spacing w:line="240" w:lineRule="auto"/>
              <w:rPr>
                <w:rFonts w:ascii="Times New Roman"/>
                <w:b/>
                <w:bCs/>
                <w:sz w:val="21"/>
                <w:szCs w:val="21"/>
              </w:rPr>
            </w:pPr>
            <w:r>
              <w:rPr>
                <w:rFonts w:ascii="Times New Roman" w:eastAsia="仿宋_GB2312"/>
                <w:b/>
                <w:bCs/>
                <w:sz w:val="21"/>
                <w:szCs w:val="21"/>
              </w:rPr>
              <w:t>专栏18                                 基础性公益性地质重点项目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6" w:hRule="atLeast"/>
        </w:trPr>
        <w:tc>
          <w:tcPr>
            <w:tcW w:w="5000" w:type="pct"/>
          </w:tcPr>
          <w:p>
            <w:pPr>
              <w:tabs>
                <w:tab w:val="left" w:pos="1896"/>
              </w:tabs>
              <w:spacing w:line="240" w:lineRule="auto"/>
              <w:rPr>
                <w:rFonts w:ascii="Times New Roman" w:eastAsia="仿宋_GB2312"/>
                <w:b/>
                <w:bCs/>
                <w:sz w:val="21"/>
                <w:szCs w:val="21"/>
              </w:rPr>
            </w:pPr>
            <w:r>
              <w:rPr>
                <w:rFonts w:ascii="Times New Roman" w:eastAsia="仿宋_GB2312"/>
                <w:b/>
                <w:bCs/>
                <w:sz w:val="21"/>
                <w:szCs w:val="21"/>
              </w:rPr>
              <w:t>1</w:t>
            </w:r>
            <w:r>
              <w:rPr>
                <w:rFonts w:hint="eastAsia" w:ascii="Times New Roman" w:eastAsia="仿宋_GB2312"/>
                <w:b/>
                <w:bCs/>
                <w:sz w:val="21"/>
                <w:szCs w:val="21"/>
              </w:rPr>
              <w:t>、伊宁县-尼勒克石英岩、玄武岩、安山岩等非金属调查评价</w:t>
            </w:r>
          </w:p>
          <w:p>
            <w:pPr>
              <w:spacing w:line="240" w:lineRule="auto"/>
              <w:ind w:firstLine="436" w:firstLineChars="200"/>
              <w:jc w:val="left"/>
              <w:rPr>
                <w:rFonts w:ascii="Times New Roman" w:eastAsia="仿宋_GB2312"/>
                <w:sz w:val="21"/>
                <w:szCs w:val="21"/>
              </w:rPr>
            </w:pPr>
            <w:r>
              <w:rPr>
                <w:rFonts w:ascii="Times New Roman" w:eastAsia="仿宋_GB2312"/>
                <w:sz w:val="21"/>
                <w:szCs w:val="21"/>
              </w:rPr>
              <w:t>预期成果</w:t>
            </w:r>
            <w:r>
              <w:rPr>
                <w:rFonts w:hint="eastAsia" w:ascii="Times New Roman" w:eastAsia="仿宋_GB2312"/>
                <w:sz w:val="21"/>
                <w:szCs w:val="21"/>
                <w:lang w:eastAsia="zh-CN"/>
              </w:rPr>
              <w:t>：</w:t>
            </w:r>
            <w:r>
              <w:rPr>
                <w:rFonts w:hint="eastAsia" w:ascii="Times New Roman" w:eastAsia="仿宋_GB2312"/>
                <w:sz w:val="21"/>
                <w:szCs w:val="21"/>
              </w:rPr>
              <w:t>调查该区石英岩、玄武岩、安山岩等非金属矿产资源分布，埋藏条件，圈定各类非金属矿产资源靶区，为下一步勘查开发提供有力依据。</w:t>
            </w:r>
          </w:p>
          <w:p>
            <w:pPr>
              <w:spacing w:line="240" w:lineRule="auto"/>
              <w:ind w:firstLine="436" w:firstLineChars="200"/>
              <w:jc w:val="left"/>
              <w:rPr>
                <w:rFonts w:ascii="Times New Roman" w:eastAsia="仿宋_GB2312"/>
                <w:sz w:val="21"/>
                <w:szCs w:val="21"/>
              </w:rPr>
            </w:pPr>
            <w:r>
              <w:rPr>
                <w:rFonts w:ascii="Times New Roman" w:eastAsia="仿宋_GB2312"/>
                <w:sz w:val="21"/>
                <w:szCs w:val="21"/>
              </w:rPr>
              <w:t>进度安排</w:t>
            </w:r>
            <w:r>
              <w:rPr>
                <w:rFonts w:hint="eastAsia" w:ascii="Times New Roman" w:eastAsia="仿宋_GB2312"/>
                <w:sz w:val="21"/>
                <w:szCs w:val="21"/>
                <w:lang w:eastAsia="zh-CN"/>
              </w:rPr>
              <w:t>：</w:t>
            </w:r>
            <w:r>
              <w:rPr>
                <w:rFonts w:ascii="Times New Roman" w:eastAsia="仿宋_GB2312"/>
                <w:sz w:val="21"/>
                <w:szCs w:val="21"/>
              </w:rPr>
              <w:t>2023年-2025年</w:t>
            </w:r>
          </w:p>
          <w:p>
            <w:pPr>
              <w:tabs>
                <w:tab w:val="left" w:pos="1896"/>
              </w:tabs>
              <w:spacing w:line="240" w:lineRule="auto"/>
              <w:rPr>
                <w:rFonts w:ascii="Times New Roman" w:eastAsia="仿宋_GB2312"/>
                <w:b/>
                <w:bCs/>
                <w:sz w:val="21"/>
                <w:szCs w:val="21"/>
              </w:rPr>
            </w:pPr>
            <w:r>
              <w:rPr>
                <w:rFonts w:ascii="Times New Roman" w:eastAsia="仿宋_GB2312"/>
                <w:b/>
                <w:bCs/>
                <w:sz w:val="21"/>
                <w:szCs w:val="21"/>
              </w:rPr>
              <w:t>2、</w:t>
            </w:r>
            <w:r>
              <w:rPr>
                <w:rFonts w:hint="eastAsia" w:ascii="Times New Roman" w:eastAsia="仿宋_GB2312"/>
                <w:b/>
                <w:bCs/>
                <w:sz w:val="21"/>
                <w:szCs w:val="21"/>
              </w:rPr>
              <w:t>伊宁县</w:t>
            </w:r>
            <w:r>
              <w:rPr>
                <w:rFonts w:ascii="Times New Roman" w:eastAsia="仿宋_GB2312"/>
                <w:b/>
                <w:bCs/>
                <w:sz w:val="21"/>
                <w:szCs w:val="21"/>
              </w:rPr>
              <w:t>地热资源潜力调查评价</w:t>
            </w:r>
          </w:p>
          <w:p>
            <w:pPr>
              <w:spacing w:line="240" w:lineRule="auto"/>
              <w:ind w:firstLine="436" w:firstLineChars="200"/>
              <w:jc w:val="left"/>
              <w:rPr>
                <w:rFonts w:ascii="Times New Roman" w:eastAsia="仿宋_GB2312"/>
                <w:sz w:val="21"/>
                <w:szCs w:val="21"/>
              </w:rPr>
            </w:pPr>
            <w:r>
              <w:rPr>
                <w:rFonts w:ascii="Times New Roman" w:eastAsia="仿宋_GB2312"/>
                <w:sz w:val="21"/>
                <w:szCs w:val="21"/>
              </w:rPr>
              <w:t>预期成果:通过区内地热调查，查明地层构造、热储层特征、热储压力动态、</w:t>
            </w:r>
            <w:r>
              <w:rPr>
                <w:rFonts w:hint="eastAsia" w:ascii="Times New Roman" w:eastAsia="仿宋_GB2312"/>
                <w:sz w:val="21"/>
                <w:szCs w:val="21"/>
              </w:rPr>
              <w:t>径流</w:t>
            </w:r>
            <w:r>
              <w:rPr>
                <w:rFonts w:ascii="Times New Roman" w:eastAsia="仿宋_GB2312"/>
                <w:sz w:val="21"/>
                <w:szCs w:val="21"/>
              </w:rPr>
              <w:t>特征及地热资源量，为政府管理部门的规划、开发和进一步勘查提供依据，同时为规划清洁能源的开发利用，并使得地热资源以持续发展，提供了重要的数据和科学依据</w:t>
            </w:r>
            <w:r>
              <w:rPr>
                <w:rFonts w:hint="eastAsia" w:ascii="Times New Roman" w:eastAsia="仿宋_GB2312"/>
                <w:sz w:val="21"/>
                <w:szCs w:val="21"/>
              </w:rPr>
              <w:t>，助力“文旅+”产业融合及康养旅游产业发展。</w:t>
            </w:r>
          </w:p>
          <w:p>
            <w:pPr>
              <w:spacing w:line="240" w:lineRule="auto"/>
              <w:ind w:firstLine="436" w:firstLineChars="200"/>
              <w:jc w:val="left"/>
              <w:rPr>
                <w:rFonts w:ascii="Times New Roman"/>
                <w:sz w:val="21"/>
                <w:szCs w:val="21"/>
              </w:rPr>
            </w:pPr>
            <w:r>
              <w:rPr>
                <w:rFonts w:ascii="Times New Roman" w:eastAsia="仿宋_GB2312"/>
                <w:sz w:val="21"/>
                <w:szCs w:val="21"/>
              </w:rPr>
              <w:t>进度安排:2022年-2024年</w:t>
            </w:r>
          </w:p>
        </w:tc>
      </w:tr>
    </w:tbl>
    <w:p>
      <w:pPr>
        <w:spacing w:line="560" w:lineRule="exact"/>
        <w:ind w:firstLine="659" w:firstLineChars="200"/>
        <w:rPr>
          <w:rFonts w:ascii="Times New Roman" w:eastAsia="仿宋_GB2312"/>
          <w:sz w:val="32"/>
          <w:szCs w:val="32"/>
        </w:rPr>
      </w:pPr>
      <w:r>
        <w:rPr>
          <w:rFonts w:ascii="Times New Roman" w:eastAsia="仿宋_GB2312"/>
          <w:b/>
          <w:sz w:val="32"/>
          <w:szCs w:val="32"/>
        </w:rPr>
        <w:t>矿产资源开发利用项目。</w:t>
      </w:r>
      <w:r>
        <w:rPr>
          <w:rFonts w:ascii="Times New Roman" w:eastAsia="仿宋_GB2312"/>
          <w:sz w:val="32"/>
          <w:szCs w:val="32"/>
        </w:rPr>
        <w:t>在国家规划矿区和重点开采区内规划矿产资源开发利用，建立资源开发、综合利用、规模化开采的新型绿色矿山模式，以期推动地方就业。大力发展矿产资源相关产业，资金全部来源于企业。</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992" w:type="dxa"/>
          </w:tcPr>
          <w:p>
            <w:pPr>
              <w:spacing w:line="240" w:lineRule="auto"/>
              <w:rPr>
                <w:rFonts w:ascii="Times New Roman"/>
                <w:b/>
                <w:bCs/>
                <w:color w:val="000000" w:themeColor="text1"/>
                <w:sz w:val="20"/>
                <w:szCs w:val="20"/>
                <w14:textFill>
                  <w14:solidFill>
                    <w14:schemeClr w14:val="tx1"/>
                  </w14:solidFill>
                </w14:textFill>
              </w:rPr>
            </w:pPr>
            <w:r>
              <w:rPr>
                <w:rFonts w:ascii="Times New Roman" w:eastAsia="仿宋_GB2312"/>
                <w:b/>
                <w:bCs/>
                <w:sz w:val="21"/>
                <w:szCs w:val="21"/>
              </w:rPr>
              <w:t>专栏19                                        重点矿山建设工程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92" w:type="dxa"/>
          </w:tcPr>
          <w:p>
            <w:pPr>
              <w:tabs>
                <w:tab w:val="left" w:pos="1896"/>
              </w:tabs>
              <w:spacing w:line="240" w:lineRule="auto"/>
              <w:rPr>
                <w:rFonts w:ascii="Times New Roman" w:eastAsia="仿宋_GB2312"/>
                <w:b/>
                <w:bCs/>
                <w:sz w:val="21"/>
                <w:szCs w:val="21"/>
              </w:rPr>
            </w:pPr>
            <w:r>
              <w:rPr>
                <w:rFonts w:ascii="Times New Roman" w:eastAsia="仿宋_GB2312"/>
                <w:b/>
                <w:bCs/>
                <w:sz w:val="21"/>
                <w:szCs w:val="21"/>
              </w:rPr>
              <w:t>1、伊宁矿区北区七号矿井一期矿山建设（伊宁县）</w:t>
            </w:r>
          </w:p>
          <w:p>
            <w:pPr>
              <w:spacing w:line="240" w:lineRule="auto"/>
              <w:ind w:firstLine="436" w:firstLineChars="200"/>
              <w:jc w:val="left"/>
              <w:rPr>
                <w:rFonts w:ascii="Times New Roman" w:eastAsia="仿宋_GB2312"/>
                <w:sz w:val="21"/>
                <w:szCs w:val="21"/>
              </w:rPr>
            </w:pPr>
            <w:r>
              <w:rPr>
                <w:rFonts w:ascii="Times New Roman" w:eastAsia="仿宋_GB2312"/>
                <w:sz w:val="21"/>
                <w:szCs w:val="21"/>
              </w:rPr>
              <w:t>实施主体:庆华集团伊犁矿业投资有限公司</w:t>
            </w:r>
          </w:p>
          <w:p>
            <w:pPr>
              <w:spacing w:line="240" w:lineRule="auto"/>
              <w:ind w:firstLine="436" w:firstLineChars="200"/>
              <w:jc w:val="left"/>
              <w:rPr>
                <w:rFonts w:ascii="Times New Roman" w:eastAsia="仿宋_GB2312"/>
                <w:sz w:val="21"/>
                <w:szCs w:val="21"/>
              </w:rPr>
            </w:pPr>
            <w:r>
              <w:rPr>
                <w:rFonts w:ascii="Times New Roman" w:eastAsia="仿宋_GB2312"/>
                <w:sz w:val="21"/>
                <w:szCs w:val="21"/>
              </w:rPr>
              <w:t>建设规模: 300万吨/年，配套建设相同规模的选煤厂。</w:t>
            </w:r>
          </w:p>
          <w:p>
            <w:pPr>
              <w:spacing w:line="240" w:lineRule="auto"/>
              <w:ind w:firstLine="436" w:firstLineChars="200"/>
              <w:jc w:val="left"/>
              <w:rPr>
                <w:rFonts w:ascii="Times New Roman"/>
                <w:color w:val="000000"/>
                <w:sz w:val="21"/>
                <w:szCs w:val="21"/>
              </w:rPr>
            </w:pPr>
            <w:r>
              <w:rPr>
                <w:rFonts w:ascii="Times New Roman" w:eastAsia="仿宋_GB2312"/>
                <w:sz w:val="21"/>
                <w:szCs w:val="21"/>
              </w:rPr>
              <w:t>进度安排:2021年-2023年</w:t>
            </w:r>
          </w:p>
        </w:tc>
      </w:tr>
    </w:tbl>
    <w:p>
      <w:pPr>
        <w:spacing w:line="560" w:lineRule="exact"/>
        <w:ind w:firstLine="659" w:firstLineChars="200"/>
        <w:rPr>
          <w:rFonts w:ascii="Times New Roman" w:eastAsia="仿宋_GB2312"/>
          <w:sz w:val="32"/>
          <w:szCs w:val="32"/>
        </w:rPr>
      </w:pPr>
      <w:r>
        <w:rPr>
          <w:rFonts w:ascii="Times New Roman" w:eastAsia="仿宋_GB2312"/>
          <w:b/>
          <w:sz w:val="32"/>
          <w:szCs w:val="32"/>
        </w:rPr>
        <w:t>绿色矿业建设项目。</w:t>
      </w:r>
      <w:r>
        <w:rPr>
          <w:rFonts w:hint="eastAsia" w:ascii="Times New Roman" w:eastAsia="仿宋_GB2312"/>
          <w:sz w:val="32"/>
          <w:szCs w:val="32"/>
        </w:rPr>
        <w:t>近期推动庆华二号矿、皮里青露天煤矿等大型矿山的绿色矿山建设，</w:t>
      </w:r>
      <w:r>
        <w:rPr>
          <w:rFonts w:ascii="Times New Roman" w:eastAsia="仿宋_GB2312"/>
          <w:sz w:val="32"/>
          <w:szCs w:val="32"/>
        </w:rPr>
        <w:t>加快形成绿色矿业发展新格局。</w:t>
      </w:r>
    </w:p>
    <w:p>
      <w:pPr>
        <w:spacing w:line="560" w:lineRule="exact"/>
        <w:ind w:firstLine="656" w:firstLineChars="200"/>
        <w:rPr>
          <w:rFonts w:ascii="Times New Roman" w:eastAsia="仿宋_GB2312"/>
          <w:sz w:val="32"/>
          <w:szCs w:val="32"/>
        </w:rPr>
      </w:pPr>
    </w:p>
    <w:p>
      <w:pPr>
        <w:spacing w:line="560" w:lineRule="exact"/>
        <w:ind w:firstLine="656" w:firstLineChars="200"/>
        <w:rPr>
          <w:rFonts w:ascii="Times New Roman"/>
          <w:sz w:val="32"/>
          <w:szCs w:val="32"/>
        </w:rPr>
      </w:pPr>
    </w:p>
    <w:tbl>
      <w:tblPr>
        <w:tblStyle w:val="3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636"/>
        <w:gridCol w:w="2826"/>
        <w:gridCol w:w="852"/>
        <w:gridCol w:w="1134"/>
        <w:gridCol w:w="1276"/>
        <w:gridCol w:w="992"/>
        <w:gridCol w:w="1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401" w:hRule="atLeast"/>
          <w:jc w:val="center"/>
        </w:trPr>
        <w:tc>
          <w:tcPr>
            <w:tcW w:w="0" w:type="auto"/>
            <w:gridSpan w:val="7"/>
            <w:shd w:val="clear" w:color="auto" w:fill="FFFFFF" w:themeFill="background1"/>
            <w:vAlign w:val="center"/>
          </w:tcPr>
          <w:p>
            <w:pPr>
              <w:spacing w:line="240" w:lineRule="auto"/>
              <w:rPr>
                <w:rFonts w:ascii="Times New Roman"/>
                <w:b/>
                <w:bCs/>
                <w:sz w:val="21"/>
              </w:rPr>
            </w:pPr>
            <w:r>
              <w:rPr>
                <w:rFonts w:ascii="Times New Roman" w:eastAsia="仿宋_GB2312"/>
                <w:b/>
                <w:bCs/>
                <w:sz w:val="21"/>
                <w:szCs w:val="21"/>
              </w:rPr>
              <w:t>专栏20                                               绿色矿业</w:t>
            </w:r>
            <w:r>
              <w:rPr>
                <w:rFonts w:hint="eastAsia" w:ascii="Times New Roman" w:eastAsia="仿宋_GB2312"/>
                <w:b/>
                <w:bCs/>
                <w:sz w:val="21"/>
                <w:szCs w:val="21"/>
              </w:rPr>
              <w:t>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621" w:hRule="atLeast"/>
          <w:jc w:val="center"/>
        </w:trPr>
        <w:tc>
          <w:tcPr>
            <w:tcW w:w="0" w:type="auto"/>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序号</w:t>
            </w:r>
          </w:p>
        </w:tc>
        <w:tc>
          <w:tcPr>
            <w:tcW w:w="2826"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名称</w:t>
            </w:r>
          </w:p>
        </w:tc>
        <w:tc>
          <w:tcPr>
            <w:tcW w:w="852"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开采</w:t>
            </w:r>
          </w:p>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矿种</w:t>
            </w:r>
          </w:p>
        </w:tc>
        <w:tc>
          <w:tcPr>
            <w:tcW w:w="1134"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开采</w:t>
            </w:r>
          </w:p>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方式</w:t>
            </w:r>
          </w:p>
        </w:tc>
        <w:tc>
          <w:tcPr>
            <w:tcW w:w="1276"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设计生产</w:t>
            </w:r>
          </w:p>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能力</w:t>
            </w:r>
          </w:p>
        </w:tc>
        <w:tc>
          <w:tcPr>
            <w:tcW w:w="992"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生产</w:t>
            </w:r>
          </w:p>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状态</w:t>
            </w:r>
          </w:p>
        </w:tc>
        <w:tc>
          <w:tcPr>
            <w:tcW w:w="1184"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进度安排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02" w:hRule="atLeast"/>
          <w:jc w:val="center"/>
        </w:trPr>
        <w:tc>
          <w:tcPr>
            <w:tcW w:w="0" w:type="auto"/>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1</w:t>
            </w:r>
          </w:p>
        </w:tc>
        <w:tc>
          <w:tcPr>
            <w:tcW w:w="2826"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伊犁庆华能源开发有限公司二号露天矿</w:t>
            </w:r>
          </w:p>
        </w:tc>
        <w:tc>
          <w:tcPr>
            <w:tcW w:w="852"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煤</w:t>
            </w:r>
          </w:p>
        </w:tc>
        <w:tc>
          <w:tcPr>
            <w:tcW w:w="1134"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露天开采</w:t>
            </w:r>
          </w:p>
        </w:tc>
        <w:tc>
          <w:tcPr>
            <w:tcW w:w="1276"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4</w:t>
            </w:r>
            <w:r>
              <w:rPr>
                <w:rFonts w:ascii="Times New Roman" w:eastAsia="仿宋_GB2312"/>
                <w:snapToGrid/>
                <w:spacing w:val="0"/>
                <w:sz w:val="21"/>
                <w:szCs w:val="21"/>
              </w:rPr>
              <w:t>00</w:t>
            </w:r>
            <w:r>
              <w:rPr>
                <w:rFonts w:hint="eastAsia" w:ascii="Times New Roman" w:eastAsia="仿宋_GB2312"/>
                <w:snapToGrid/>
                <w:spacing w:val="0"/>
                <w:sz w:val="21"/>
                <w:szCs w:val="21"/>
              </w:rPr>
              <w:t>万吨/年</w:t>
            </w:r>
          </w:p>
        </w:tc>
        <w:tc>
          <w:tcPr>
            <w:tcW w:w="992"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生产</w:t>
            </w:r>
          </w:p>
        </w:tc>
        <w:tc>
          <w:tcPr>
            <w:tcW w:w="1184"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2023-2025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42" w:hRule="atLeast"/>
          <w:jc w:val="center"/>
        </w:trPr>
        <w:tc>
          <w:tcPr>
            <w:tcW w:w="0" w:type="auto"/>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2</w:t>
            </w:r>
          </w:p>
        </w:tc>
        <w:tc>
          <w:tcPr>
            <w:tcW w:w="2826"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新疆伊犁犁能煤炭有限公司新疆伊犁皮里青露天煤矿</w:t>
            </w:r>
          </w:p>
        </w:tc>
        <w:tc>
          <w:tcPr>
            <w:tcW w:w="852"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煤</w:t>
            </w:r>
          </w:p>
        </w:tc>
        <w:tc>
          <w:tcPr>
            <w:tcW w:w="1134"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露天开采</w:t>
            </w:r>
          </w:p>
        </w:tc>
        <w:tc>
          <w:tcPr>
            <w:tcW w:w="1276"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90</w:t>
            </w:r>
            <w:r>
              <w:rPr>
                <w:rFonts w:hint="eastAsia" w:ascii="Times New Roman" w:eastAsia="仿宋_GB2312"/>
                <w:snapToGrid/>
                <w:spacing w:val="0"/>
                <w:sz w:val="21"/>
                <w:szCs w:val="21"/>
              </w:rPr>
              <w:t>万吨/年</w:t>
            </w:r>
          </w:p>
        </w:tc>
        <w:tc>
          <w:tcPr>
            <w:tcW w:w="992"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生产</w:t>
            </w:r>
          </w:p>
        </w:tc>
        <w:tc>
          <w:tcPr>
            <w:tcW w:w="1184"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2023-2025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842" w:hRule="atLeast"/>
          <w:jc w:val="center"/>
        </w:trPr>
        <w:tc>
          <w:tcPr>
            <w:tcW w:w="0" w:type="auto"/>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3</w:t>
            </w:r>
          </w:p>
        </w:tc>
        <w:tc>
          <w:tcPr>
            <w:tcW w:w="2826"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伊犁永宁煤业化工有限公司潘津工业煤矿</w:t>
            </w:r>
          </w:p>
        </w:tc>
        <w:tc>
          <w:tcPr>
            <w:tcW w:w="852"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煤</w:t>
            </w:r>
          </w:p>
        </w:tc>
        <w:tc>
          <w:tcPr>
            <w:tcW w:w="1134"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露天开采</w:t>
            </w:r>
          </w:p>
        </w:tc>
        <w:tc>
          <w:tcPr>
            <w:tcW w:w="1276"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90</w:t>
            </w:r>
            <w:r>
              <w:rPr>
                <w:rFonts w:hint="eastAsia" w:ascii="Times New Roman" w:eastAsia="仿宋_GB2312"/>
                <w:snapToGrid/>
                <w:spacing w:val="0"/>
                <w:sz w:val="21"/>
                <w:szCs w:val="21"/>
              </w:rPr>
              <w:t>万吨/年</w:t>
            </w:r>
          </w:p>
        </w:tc>
        <w:tc>
          <w:tcPr>
            <w:tcW w:w="992"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生产</w:t>
            </w:r>
          </w:p>
        </w:tc>
        <w:tc>
          <w:tcPr>
            <w:tcW w:w="1184" w:type="dxa"/>
            <w:shd w:val="clear" w:color="auto" w:fill="FFFFFF" w:themeFill="background1"/>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2023-2025</w:t>
            </w:r>
          </w:p>
        </w:tc>
      </w:tr>
    </w:tbl>
    <w:p>
      <w:pPr>
        <w:spacing w:line="560" w:lineRule="exact"/>
        <w:ind w:firstLine="659" w:firstLineChars="200"/>
        <w:rPr>
          <w:rFonts w:ascii="Times New Roman" w:eastAsia="仿宋_GB2312"/>
          <w:sz w:val="32"/>
          <w:szCs w:val="32"/>
        </w:rPr>
      </w:pPr>
      <w:r>
        <w:rPr>
          <w:rFonts w:ascii="Times New Roman" w:eastAsia="仿宋_GB2312"/>
          <w:b/>
          <w:sz w:val="32"/>
          <w:szCs w:val="32"/>
        </w:rPr>
        <w:t>矿山地质环境治理恢复项目</w:t>
      </w:r>
      <w:r>
        <w:rPr>
          <w:rFonts w:hint="eastAsia" w:ascii="Times New Roman" w:eastAsia="仿宋_GB2312"/>
          <w:b/>
          <w:sz w:val="32"/>
          <w:szCs w:val="32"/>
        </w:rPr>
        <w:t>。</w:t>
      </w:r>
      <w:r>
        <w:rPr>
          <w:rFonts w:ascii="Times New Roman" w:eastAsia="仿宋_GB2312"/>
          <w:sz w:val="32"/>
          <w:szCs w:val="32"/>
        </w:rPr>
        <w:t>实施政府对矿山地质环境保护与治理规划管理，加大对矿山地质环境治理恢复与矿区土地复垦力度，</w:t>
      </w:r>
      <w:r>
        <w:rPr>
          <w:rFonts w:hint="eastAsia" w:ascii="Times New Roman" w:eastAsia="仿宋_GB2312"/>
          <w:sz w:val="32"/>
          <w:szCs w:val="32"/>
        </w:rPr>
        <w:t>积极申请山水林田湖草沙冰一体化保护和系统治理项目，</w:t>
      </w:r>
      <w:r>
        <w:rPr>
          <w:rFonts w:ascii="Times New Roman" w:eastAsia="仿宋_GB2312"/>
          <w:sz w:val="32"/>
          <w:szCs w:val="32"/>
        </w:rPr>
        <w:t>对采空塌陷地、历史遗留非煤矿山废弃矿井和采空区实施治理工程，使矿山地质环境明显改善，矿产资源得到有效保护和可持续开发利用，做到山更绿天更蓝。</w:t>
      </w:r>
    </w:p>
    <w:tbl>
      <w:tblPr>
        <w:tblStyle w:val="3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2827"/>
        <w:gridCol w:w="1555"/>
        <w:gridCol w:w="1158"/>
        <w:gridCol w:w="1428"/>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5000" w:type="pct"/>
            <w:gridSpan w:val="6"/>
            <w:shd w:val="clear" w:color="auto" w:fill="FFFFFF" w:themeFill="background1"/>
            <w:vAlign w:val="center"/>
          </w:tcPr>
          <w:p>
            <w:pPr>
              <w:spacing w:line="240" w:lineRule="auto"/>
              <w:rPr>
                <w:rFonts w:ascii="Times New Roman"/>
                <w:b/>
                <w:bCs/>
                <w:sz w:val="24"/>
              </w:rPr>
            </w:pPr>
            <w:r>
              <w:rPr>
                <w:rFonts w:ascii="Times New Roman" w:eastAsia="仿宋_GB2312"/>
                <w:b/>
                <w:bCs/>
                <w:sz w:val="21"/>
                <w:szCs w:val="21"/>
              </w:rPr>
              <w:t xml:space="preserve">专栏21                                        </w:t>
            </w:r>
            <w:r>
              <w:rPr>
                <w:rFonts w:hint="eastAsia" w:ascii="Times New Roman" w:eastAsia="仿宋_GB2312"/>
                <w:b/>
                <w:bCs/>
                <w:sz w:val="21"/>
                <w:szCs w:val="21"/>
              </w:rPr>
              <w:t>矿山地质环境治理恢复重点项目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08" w:type="pct"/>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序号</w:t>
            </w:r>
          </w:p>
        </w:tc>
        <w:tc>
          <w:tcPr>
            <w:tcW w:w="1560"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治理工程</w:t>
            </w:r>
            <w:r>
              <w:rPr>
                <w:rFonts w:ascii="Times New Roman" w:eastAsia="仿宋_GB2312"/>
                <w:snapToGrid/>
                <w:spacing w:val="0"/>
                <w:sz w:val="21"/>
                <w:szCs w:val="21"/>
              </w:rPr>
              <w:t>名称</w:t>
            </w:r>
          </w:p>
        </w:tc>
        <w:tc>
          <w:tcPr>
            <w:tcW w:w="85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治理面积</w:t>
            </w:r>
          </w:p>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（k</w:t>
            </w:r>
            <w:r>
              <w:rPr>
                <w:rFonts w:ascii="Times New Roman" w:eastAsia="仿宋_GB2312"/>
                <w:snapToGrid/>
                <w:spacing w:val="0"/>
                <w:sz w:val="21"/>
                <w:szCs w:val="21"/>
              </w:rPr>
              <w:t>m</w:t>
            </w:r>
            <w:r>
              <w:rPr>
                <w:rFonts w:ascii="Times New Roman" w:eastAsia="仿宋_GB2312"/>
                <w:snapToGrid/>
                <w:spacing w:val="0"/>
                <w:sz w:val="21"/>
                <w:szCs w:val="21"/>
                <w:vertAlign w:val="superscript"/>
              </w:rPr>
              <w:t>2</w:t>
            </w:r>
            <w:r>
              <w:rPr>
                <w:rFonts w:hint="eastAsia" w:ascii="Times New Roman" w:eastAsia="仿宋_GB2312"/>
                <w:snapToGrid/>
                <w:spacing w:val="0"/>
                <w:sz w:val="21"/>
                <w:szCs w:val="21"/>
              </w:rPr>
              <w:t>）</w:t>
            </w:r>
          </w:p>
        </w:tc>
        <w:tc>
          <w:tcPr>
            <w:tcW w:w="639"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所需资金（万元）</w:t>
            </w:r>
          </w:p>
        </w:tc>
        <w:tc>
          <w:tcPr>
            <w:tcW w:w="78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进度安排</w:t>
            </w:r>
          </w:p>
        </w:tc>
        <w:tc>
          <w:tcPr>
            <w:tcW w:w="747" w:type="pct"/>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0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1</w:t>
            </w:r>
          </w:p>
        </w:tc>
        <w:tc>
          <w:tcPr>
            <w:tcW w:w="1560"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伊宁县萨地克于孜乡下萨地克于孜村废弃采坑地质环境治理项目</w:t>
            </w:r>
          </w:p>
        </w:tc>
        <w:tc>
          <w:tcPr>
            <w:tcW w:w="85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0</w:t>
            </w:r>
            <w:r>
              <w:rPr>
                <w:rFonts w:ascii="Times New Roman" w:eastAsia="仿宋_GB2312"/>
                <w:snapToGrid/>
                <w:spacing w:val="0"/>
                <w:sz w:val="21"/>
                <w:szCs w:val="21"/>
              </w:rPr>
              <w:t>.062</w:t>
            </w:r>
          </w:p>
        </w:tc>
        <w:tc>
          <w:tcPr>
            <w:tcW w:w="639"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4</w:t>
            </w:r>
            <w:r>
              <w:rPr>
                <w:rFonts w:ascii="Times New Roman" w:eastAsia="仿宋_GB2312"/>
                <w:snapToGrid/>
                <w:spacing w:val="0"/>
                <w:sz w:val="21"/>
                <w:szCs w:val="21"/>
              </w:rPr>
              <w:t>35.17</w:t>
            </w:r>
          </w:p>
        </w:tc>
        <w:tc>
          <w:tcPr>
            <w:tcW w:w="788" w:type="pct"/>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2021-2025</w:t>
            </w:r>
          </w:p>
        </w:tc>
        <w:tc>
          <w:tcPr>
            <w:tcW w:w="747" w:type="pct"/>
            <w:vAlign w:val="center"/>
          </w:tcPr>
          <w:p>
            <w:pPr>
              <w:widowControl/>
              <w:spacing w:line="240" w:lineRule="auto"/>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0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2</w:t>
            </w:r>
          </w:p>
        </w:tc>
        <w:tc>
          <w:tcPr>
            <w:tcW w:w="1560"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伊宁县胡地亚于孜镇废弃采坑地质环境治理项目</w:t>
            </w:r>
          </w:p>
        </w:tc>
        <w:tc>
          <w:tcPr>
            <w:tcW w:w="85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0</w:t>
            </w:r>
            <w:r>
              <w:rPr>
                <w:rFonts w:ascii="Times New Roman" w:eastAsia="仿宋_GB2312"/>
                <w:snapToGrid/>
                <w:spacing w:val="0"/>
                <w:sz w:val="21"/>
                <w:szCs w:val="21"/>
              </w:rPr>
              <w:t>.021</w:t>
            </w:r>
          </w:p>
        </w:tc>
        <w:tc>
          <w:tcPr>
            <w:tcW w:w="639"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3</w:t>
            </w:r>
            <w:r>
              <w:rPr>
                <w:rFonts w:ascii="Times New Roman" w:eastAsia="仿宋_GB2312"/>
                <w:snapToGrid/>
                <w:spacing w:val="0"/>
                <w:sz w:val="21"/>
                <w:szCs w:val="21"/>
              </w:rPr>
              <w:t>12.36</w:t>
            </w:r>
          </w:p>
        </w:tc>
        <w:tc>
          <w:tcPr>
            <w:tcW w:w="788" w:type="pct"/>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2021-2025</w:t>
            </w:r>
          </w:p>
        </w:tc>
        <w:tc>
          <w:tcPr>
            <w:tcW w:w="747" w:type="pct"/>
            <w:vAlign w:val="center"/>
          </w:tcPr>
          <w:p>
            <w:pPr>
              <w:widowControl/>
              <w:spacing w:line="240" w:lineRule="auto"/>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40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3</w:t>
            </w:r>
          </w:p>
        </w:tc>
        <w:tc>
          <w:tcPr>
            <w:tcW w:w="1560"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伊宁县愉群翁回族乡买买于孜村废弃采坑地质环境治理项目</w:t>
            </w:r>
          </w:p>
        </w:tc>
        <w:tc>
          <w:tcPr>
            <w:tcW w:w="858" w:type="pct"/>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0.009</w:t>
            </w:r>
          </w:p>
        </w:tc>
        <w:tc>
          <w:tcPr>
            <w:tcW w:w="639"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1</w:t>
            </w:r>
            <w:r>
              <w:rPr>
                <w:rFonts w:ascii="Times New Roman" w:eastAsia="仿宋_GB2312"/>
                <w:snapToGrid/>
                <w:spacing w:val="0"/>
                <w:sz w:val="21"/>
                <w:szCs w:val="21"/>
              </w:rPr>
              <w:t>54.88</w:t>
            </w:r>
          </w:p>
        </w:tc>
        <w:tc>
          <w:tcPr>
            <w:tcW w:w="788" w:type="pct"/>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2021-2025</w:t>
            </w:r>
          </w:p>
        </w:tc>
        <w:tc>
          <w:tcPr>
            <w:tcW w:w="747" w:type="pct"/>
            <w:vAlign w:val="center"/>
          </w:tcPr>
          <w:p>
            <w:pPr>
              <w:widowControl/>
              <w:spacing w:line="240" w:lineRule="auto"/>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40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4</w:t>
            </w:r>
          </w:p>
        </w:tc>
        <w:tc>
          <w:tcPr>
            <w:tcW w:w="1560"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伊宁县愉群翁回族乡托合其于孜村废弃采坑地质环境治理项目</w:t>
            </w:r>
          </w:p>
        </w:tc>
        <w:tc>
          <w:tcPr>
            <w:tcW w:w="85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0</w:t>
            </w:r>
            <w:r>
              <w:rPr>
                <w:rFonts w:ascii="Times New Roman" w:eastAsia="仿宋_GB2312"/>
                <w:snapToGrid/>
                <w:spacing w:val="0"/>
                <w:sz w:val="21"/>
                <w:szCs w:val="21"/>
              </w:rPr>
              <w:t>.057</w:t>
            </w:r>
          </w:p>
        </w:tc>
        <w:tc>
          <w:tcPr>
            <w:tcW w:w="639"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3</w:t>
            </w:r>
            <w:r>
              <w:rPr>
                <w:rFonts w:ascii="Times New Roman" w:eastAsia="仿宋_GB2312"/>
                <w:snapToGrid/>
                <w:spacing w:val="0"/>
                <w:sz w:val="21"/>
                <w:szCs w:val="21"/>
              </w:rPr>
              <w:t>56.44</w:t>
            </w:r>
          </w:p>
        </w:tc>
        <w:tc>
          <w:tcPr>
            <w:tcW w:w="788" w:type="pct"/>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2021-2025</w:t>
            </w:r>
          </w:p>
        </w:tc>
        <w:tc>
          <w:tcPr>
            <w:tcW w:w="747" w:type="pct"/>
            <w:vAlign w:val="center"/>
          </w:tcPr>
          <w:p>
            <w:pPr>
              <w:widowControl/>
              <w:spacing w:line="240" w:lineRule="auto"/>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40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5</w:t>
            </w:r>
          </w:p>
        </w:tc>
        <w:tc>
          <w:tcPr>
            <w:tcW w:w="1560"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伊宁县工业园区废弃采坑地质环境治理项目</w:t>
            </w:r>
          </w:p>
        </w:tc>
        <w:tc>
          <w:tcPr>
            <w:tcW w:w="858" w:type="pct"/>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0</w:t>
            </w:r>
            <w:r>
              <w:rPr>
                <w:rFonts w:hint="eastAsia" w:ascii="Times New Roman" w:eastAsia="仿宋_GB2312"/>
                <w:snapToGrid/>
                <w:spacing w:val="0"/>
                <w:sz w:val="21"/>
                <w:szCs w:val="21"/>
              </w:rPr>
              <w:t>.</w:t>
            </w:r>
            <w:r>
              <w:rPr>
                <w:rFonts w:ascii="Times New Roman" w:eastAsia="仿宋_GB2312"/>
                <w:snapToGrid/>
                <w:spacing w:val="0"/>
                <w:sz w:val="21"/>
                <w:szCs w:val="21"/>
              </w:rPr>
              <w:t>039</w:t>
            </w:r>
          </w:p>
        </w:tc>
        <w:tc>
          <w:tcPr>
            <w:tcW w:w="639"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2</w:t>
            </w:r>
            <w:r>
              <w:rPr>
                <w:rFonts w:ascii="Times New Roman" w:eastAsia="仿宋_GB2312"/>
                <w:snapToGrid/>
                <w:spacing w:val="0"/>
                <w:sz w:val="21"/>
                <w:szCs w:val="21"/>
              </w:rPr>
              <w:t>63.21</w:t>
            </w:r>
          </w:p>
        </w:tc>
        <w:tc>
          <w:tcPr>
            <w:tcW w:w="788" w:type="pct"/>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2021-2025</w:t>
            </w:r>
          </w:p>
        </w:tc>
        <w:tc>
          <w:tcPr>
            <w:tcW w:w="747" w:type="pct"/>
            <w:vAlign w:val="center"/>
          </w:tcPr>
          <w:p>
            <w:pPr>
              <w:widowControl/>
              <w:spacing w:line="240" w:lineRule="auto"/>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40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6</w:t>
            </w:r>
          </w:p>
        </w:tc>
        <w:tc>
          <w:tcPr>
            <w:tcW w:w="1560"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伊宁县温亚尔乡多浪农场废弃采坑地质环境治理项目</w:t>
            </w:r>
          </w:p>
        </w:tc>
        <w:tc>
          <w:tcPr>
            <w:tcW w:w="85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0</w:t>
            </w:r>
            <w:r>
              <w:rPr>
                <w:rFonts w:ascii="Times New Roman" w:eastAsia="仿宋_GB2312"/>
                <w:snapToGrid/>
                <w:spacing w:val="0"/>
                <w:sz w:val="21"/>
                <w:szCs w:val="21"/>
              </w:rPr>
              <w:t>.023</w:t>
            </w:r>
          </w:p>
        </w:tc>
        <w:tc>
          <w:tcPr>
            <w:tcW w:w="639"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3</w:t>
            </w:r>
            <w:r>
              <w:rPr>
                <w:rFonts w:ascii="Times New Roman" w:eastAsia="仿宋_GB2312"/>
                <w:snapToGrid/>
                <w:spacing w:val="0"/>
                <w:sz w:val="21"/>
                <w:szCs w:val="21"/>
              </w:rPr>
              <w:t>15.81</w:t>
            </w:r>
          </w:p>
        </w:tc>
        <w:tc>
          <w:tcPr>
            <w:tcW w:w="788" w:type="pct"/>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2021-2025</w:t>
            </w:r>
          </w:p>
        </w:tc>
        <w:tc>
          <w:tcPr>
            <w:tcW w:w="747" w:type="pct"/>
            <w:vAlign w:val="center"/>
          </w:tcPr>
          <w:p>
            <w:pPr>
              <w:widowControl/>
              <w:spacing w:line="240" w:lineRule="auto"/>
              <w:jc w:val="center"/>
              <w:rPr>
                <w:rFonts w:ascii="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40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7</w:t>
            </w:r>
          </w:p>
        </w:tc>
        <w:tc>
          <w:tcPr>
            <w:tcW w:w="1560"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伊宁县英塔木镇三处废弃采坑地质环境治理项目</w:t>
            </w:r>
          </w:p>
        </w:tc>
        <w:tc>
          <w:tcPr>
            <w:tcW w:w="858"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0</w:t>
            </w:r>
            <w:r>
              <w:rPr>
                <w:rFonts w:ascii="Times New Roman" w:eastAsia="仿宋_GB2312"/>
                <w:snapToGrid/>
                <w:spacing w:val="0"/>
                <w:sz w:val="21"/>
                <w:szCs w:val="21"/>
              </w:rPr>
              <w:t>.016</w:t>
            </w:r>
          </w:p>
        </w:tc>
        <w:tc>
          <w:tcPr>
            <w:tcW w:w="639" w:type="pct"/>
            <w:vAlign w:val="center"/>
          </w:tcPr>
          <w:p>
            <w:pPr>
              <w:widowControl/>
              <w:adjustRightInd/>
              <w:snapToGrid/>
              <w:spacing w:line="240" w:lineRule="auto"/>
              <w:jc w:val="center"/>
              <w:rPr>
                <w:rFonts w:ascii="Times New Roman" w:eastAsia="仿宋_GB2312"/>
                <w:snapToGrid/>
                <w:spacing w:val="0"/>
                <w:sz w:val="21"/>
                <w:szCs w:val="21"/>
              </w:rPr>
            </w:pPr>
            <w:r>
              <w:rPr>
                <w:rFonts w:hint="eastAsia" w:ascii="Times New Roman" w:eastAsia="仿宋_GB2312"/>
                <w:snapToGrid/>
                <w:spacing w:val="0"/>
                <w:sz w:val="21"/>
                <w:szCs w:val="21"/>
              </w:rPr>
              <w:t>1</w:t>
            </w:r>
            <w:r>
              <w:rPr>
                <w:rFonts w:ascii="Times New Roman" w:eastAsia="仿宋_GB2312"/>
                <w:snapToGrid/>
                <w:spacing w:val="0"/>
                <w:sz w:val="21"/>
                <w:szCs w:val="21"/>
              </w:rPr>
              <w:t>81.47</w:t>
            </w:r>
          </w:p>
        </w:tc>
        <w:tc>
          <w:tcPr>
            <w:tcW w:w="788" w:type="pct"/>
            <w:vAlign w:val="center"/>
          </w:tcPr>
          <w:p>
            <w:pPr>
              <w:widowControl/>
              <w:adjustRightInd/>
              <w:snapToGrid/>
              <w:spacing w:line="240" w:lineRule="auto"/>
              <w:jc w:val="center"/>
              <w:rPr>
                <w:rFonts w:ascii="Times New Roman" w:eastAsia="仿宋_GB2312"/>
                <w:snapToGrid/>
                <w:spacing w:val="0"/>
                <w:sz w:val="21"/>
                <w:szCs w:val="21"/>
              </w:rPr>
            </w:pPr>
            <w:r>
              <w:rPr>
                <w:rFonts w:ascii="Times New Roman" w:eastAsia="仿宋_GB2312"/>
                <w:snapToGrid/>
                <w:spacing w:val="0"/>
                <w:sz w:val="21"/>
                <w:szCs w:val="21"/>
              </w:rPr>
              <w:t>2021-2025</w:t>
            </w:r>
          </w:p>
        </w:tc>
        <w:tc>
          <w:tcPr>
            <w:tcW w:w="747" w:type="pct"/>
            <w:vAlign w:val="center"/>
          </w:tcPr>
          <w:p>
            <w:pPr>
              <w:widowControl/>
              <w:spacing w:line="240" w:lineRule="auto"/>
              <w:jc w:val="center"/>
              <w:rPr>
                <w:rFonts w:ascii="Times New Roman"/>
                <w:sz w:val="21"/>
                <w:szCs w:val="21"/>
              </w:rPr>
            </w:pPr>
          </w:p>
        </w:tc>
      </w:tr>
    </w:tbl>
    <w:p>
      <w:pPr>
        <w:pStyle w:val="2"/>
        <w:spacing w:before="0" w:beforeLines="0" w:after="0" w:afterLines="0" w:line="560" w:lineRule="exact"/>
        <w:ind w:left="1440" w:hanging="720"/>
        <w:jc w:val="both"/>
        <w:rPr>
          <w:rFonts w:ascii="Times New Roman" w:eastAsia="黑体"/>
          <w:b w:val="0"/>
          <w:bCs/>
          <w:sz w:val="36"/>
          <w:szCs w:val="36"/>
        </w:rPr>
      </w:pPr>
      <w:bookmarkStart w:id="78" w:name="_Toc81992891"/>
      <w:bookmarkStart w:id="79" w:name="_Toc130413623"/>
      <w:r>
        <w:rPr>
          <w:rFonts w:hint="eastAsia" w:ascii="Times New Roman" w:eastAsia="黑体"/>
          <w:b w:val="0"/>
          <w:bCs/>
          <w:sz w:val="36"/>
          <w:szCs w:val="36"/>
        </w:rPr>
        <w:t>七</w:t>
      </w:r>
      <w:r>
        <w:rPr>
          <w:rFonts w:ascii="Times New Roman" w:eastAsia="黑体"/>
          <w:b w:val="0"/>
          <w:bCs/>
          <w:sz w:val="36"/>
          <w:szCs w:val="36"/>
        </w:rPr>
        <w:t>、规划保障措施</w:t>
      </w:r>
      <w:bookmarkEnd w:id="78"/>
      <w:bookmarkEnd w:id="79"/>
    </w:p>
    <w:p>
      <w:pPr>
        <w:spacing w:line="560" w:lineRule="exact"/>
        <w:ind w:firstLine="656" w:firstLineChars="200"/>
      </w:pPr>
      <w:r>
        <w:rPr>
          <w:rFonts w:ascii="Times New Roman"/>
          <w:sz w:val="32"/>
          <w:szCs w:val="32"/>
        </w:rPr>
        <w:t>本《规划》一经批准，必须严格执行，不得擅自修改。在规划实施过程中应加强组织领导，落实责任主体，加大资金筹措力度，加强宣传和社会监督。</w:t>
      </w:r>
    </w:p>
    <w:p>
      <w:pPr>
        <w:spacing w:line="560" w:lineRule="exact"/>
        <w:ind w:firstLine="480"/>
        <w:rPr>
          <w:rFonts w:ascii="仿宋_GB2312" w:eastAsia="仿宋_GB2312"/>
          <w:sz w:val="32"/>
          <w:szCs w:val="32"/>
        </w:rPr>
      </w:pPr>
      <w:r>
        <w:rPr>
          <w:rFonts w:ascii="Times New Roman"/>
          <w:b/>
          <w:sz w:val="32"/>
          <w:szCs w:val="32"/>
        </w:rPr>
        <w:t>加强组织领导。</w:t>
      </w:r>
      <w:r>
        <w:rPr>
          <w:rFonts w:hint="eastAsia" w:ascii="仿宋_GB2312" w:eastAsia="仿宋_GB2312"/>
          <w:sz w:val="32"/>
          <w:szCs w:val="32"/>
        </w:rPr>
        <w:t>落实规划实施领导责任制，建立矿产资源规划实施目标责任制，明确政府、相关行业部门、矿山企业在规划实施中的职责和任务，建立共同责任机制。将规划实施工作列入县人民政府的重要议事日程，坚持能源、矿产资源开发县政府“一支笔”审批制度，将规划的主要指标纳入县国民经济和社会发展规划。县人民政府应当采取措施，严格执行规划，维护本行政区域内矿产资源勘查开发的正常秩序。将规划中的地质勘查、矿产资源开发总量调控、矿山布局调整、矿业结构调整、矿山地质环境保护与恢复治理等目标与矿政管理工作的年度目标相结合，并根据规划确定的目标进行分解落实，作为上级主管部门对下级主管部门的绩效考核内容。</w:t>
      </w:r>
    </w:p>
    <w:p>
      <w:pPr>
        <w:spacing w:line="560" w:lineRule="exact"/>
        <w:ind w:firstLine="480"/>
        <w:rPr>
          <w:rFonts w:ascii="Times New Roman"/>
          <w:sz w:val="32"/>
        </w:rPr>
      </w:pPr>
      <w:r>
        <w:rPr>
          <w:rFonts w:ascii="Times New Roman"/>
          <w:b/>
          <w:bCs/>
          <w:sz w:val="32"/>
          <w:szCs w:val="32"/>
        </w:rPr>
        <w:t>强化实施保障。</w:t>
      </w:r>
      <w:r>
        <w:rPr>
          <w:rFonts w:ascii="Times New Roman"/>
          <w:sz w:val="32"/>
        </w:rPr>
        <w:t>伊宁县矿产资源规划发布后，规划期内积极争取国家和省财政资金，加强多部门的协调合作，拓宽融资渠道，广泛吸引社会资金，开辟多元化投资渠道，鼓励社会资金投入，组织实施关系全局、带动作用强的重大工程，完成规划制定的目标任务。</w:t>
      </w:r>
      <w:r>
        <w:rPr>
          <w:rFonts w:hint="eastAsia" w:ascii="仿宋_GB2312" w:eastAsia="仿宋_GB2312"/>
          <w:sz w:val="32"/>
          <w:szCs w:val="32"/>
        </w:rPr>
        <w:t>通过重大工程的实施，使矿产资源勘查开发取得重大突破，保障矿产资源的有效供给，促进矿产资源的科学、合理利用，提高矿产资源开发利用的水平和效率，努力形成绿色矿业格局。</w:t>
      </w:r>
    </w:p>
    <w:p>
      <w:pPr>
        <w:spacing w:line="560" w:lineRule="exact"/>
        <w:ind w:firstLine="659" w:firstLineChars="200"/>
        <w:rPr>
          <w:rFonts w:ascii="仿宋_GB2312" w:eastAsia="仿宋_GB2312"/>
          <w:sz w:val="32"/>
          <w:szCs w:val="32"/>
        </w:rPr>
      </w:pPr>
      <w:r>
        <w:rPr>
          <w:rFonts w:ascii="Times New Roman"/>
          <w:b/>
          <w:bCs/>
          <w:sz w:val="32"/>
          <w:szCs w:val="32"/>
        </w:rPr>
        <w:t>健全完善规划实施评估调整机制</w:t>
      </w:r>
      <w:r>
        <w:rPr>
          <w:rFonts w:hint="eastAsia" w:ascii="Times New Roman"/>
          <w:b/>
          <w:bCs/>
          <w:sz w:val="32"/>
          <w:szCs w:val="32"/>
        </w:rPr>
        <w:t>。</w:t>
      </w:r>
      <w:r>
        <w:rPr>
          <w:rFonts w:hint="eastAsia" w:ascii="仿宋_GB2312" w:eastAsia="仿宋_GB2312"/>
          <w:sz w:val="32"/>
          <w:szCs w:val="32"/>
        </w:rPr>
        <w:t>建立规划年度实施制度，完善规划实施评估调整机制。对规划实施情况进行年度和中期评估，总结规划实施的经验和不足，分析规划实施存在的问题，研究矿产资源勘查开发面临的新形势，必须对规划调整的必要性和合理性进行评估，严格按照法定程序进行审批，统筹部署全县矿产资源规划调整与上图入库的有关工作，确保调整内容的科学、合理和可行。建立规划数据库动态更新机制。</w:t>
      </w:r>
    </w:p>
    <w:p>
      <w:pPr>
        <w:spacing w:line="560" w:lineRule="exact"/>
        <w:ind w:firstLine="659" w:firstLineChars="200"/>
        <w:rPr>
          <w:rFonts w:ascii="仿宋_GB2312" w:eastAsia="仿宋_GB2312"/>
          <w:sz w:val="32"/>
          <w:szCs w:val="32"/>
        </w:rPr>
      </w:pPr>
      <w:r>
        <w:rPr>
          <w:rFonts w:ascii="Times New Roman"/>
          <w:b/>
          <w:bCs/>
          <w:sz w:val="32"/>
          <w:szCs w:val="32"/>
        </w:rPr>
        <w:t>加强规划实施情况监督检查。</w:t>
      </w:r>
      <w:r>
        <w:rPr>
          <w:rFonts w:hint="eastAsia" w:ascii="仿宋_GB2312" w:eastAsia="仿宋_GB2312"/>
          <w:sz w:val="32"/>
          <w:szCs w:val="32"/>
        </w:rPr>
        <w:t>自然资源主管部门要切实加强对矿产资源规划实施情况的监督检查，并将其列入自然资源执法监督的重要内容，及时发现并纠正各种违反规划的行为。强化规划的科学性、权威性和约束力，严格落实规划任务和目标。建立规划实施情况动态监督检查管理制度，加强总量调控、矿业权设置区划、矿山地质环境治理恢复等规划指标执行情况的监督检查。建立规划实施情况反馈制度，及时掌握规划执行情况监督检查结果，强化对规划重点区域矿产勘查开发活动的监督管理，及时纠正违反规划行为。</w:t>
      </w:r>
    </w:p>
    <w:p>
      <w:pPr>
        <w:spacing w:line="560" w:lineRule="exact"/>
        <w:ind w:firstLine="480"/>
        <w:rPr>
          <w:rFonts w:ascii="仿宋_GB2312" w:eastAsia="仿宋_GB2312"/>
          <w:sz w:val="32"/>
          <w:szCs w:val="32"/>
        </w:rPr>
      </w:pPr>
      <w:r>
        <w:rPr>
          <w:rFonts w:ascii="Times New Roman"/>
          <w:b/>
          <w:bCs/>
          <w:sz w:val="32"/>
          <w:szCs w:val="32"/>
        </w:rPr>
        <w:t>提高规划管理信息化水平</w:t>
      </w:r>
      <w:r>
        <w:rPr>
          <w:rFonts w:ascii="Times New Roman"/>
          <w:sz w:val="32"/>
          <w:szCs w:val="32"/>
        </w:rPr>
        <w:t>。</w:t>
      </w:r>
      <w:r>
        <w:rPr>
          <w:rFonts w:hint="eastAsia" w:ascii="仿宋_GB2312" w:eastAsia="仿宋_GB2312"/>
          <w:sz w:val="32"/>
          <w:szCs w:val="32"/>
        </w:rPr>
        <w:t>充分利用信息技术，开发利用信息资源，全面促进矿产资源规划交流和知识共享，提高矿产资源的立体式管理和生态文明的全方位建设。依托已建立的矿产资源规划编制实施管理系统，遵循整体规划、统一建设、分步实施的原则，实现国家、省（自治区）、市（自治州）、县四级规划成果管理，互联共享，进度全局掌控，审查一把尺子，平台全国一体，对外一个窗口，强化矿产资源规划的统一性和权威性。</w:t>
      </w:r>
    </w:p>
    <w:p>
      <w:pPr>
        <w:spacing w:line="560" w:lineRule="exact"/>
        <w:ind w:firstLine="659" w:firstLineChars="200"/>
        <w:rPr>
          <w:rFonts w:ascii="仿宋_GB2312" w:eastAsia="仿宋_GB2312"/>
          <w:sz w:val="32"/>
          <w:szCs w:val="32"/>
        </w:rPr>
      </w:pPr>
      <w:r>
        <w:rPr>
          <w:rFonts w:ascii="Times New Roman"/>
          <w:b/>
          <w:bCs/>
          <w:sz w:val="32"/>
          <w:szCs w:val="32"/>
        </w:rPr>
        <w:t>注重宣传引领</w:t>
      </w:r>
      <w:r>
        <w:rPr>
          <w:rFonts w:ascii="Times New Roman"/>
          <w:sz w:val="32"/>
          <w:szCs w:val="32"/>
        </w:rPr>
        <w:t>。县自然资源主管部门</w:t>
      </w:r>
      <w:r>
        <w:rPr>
          <w:rFonts w:hint="eastAsia" w:ascii="仿宋_GB2312" w:eastAsia="仿宋_GB2312"/>
          <w:sz w:val="32"/>
          <w:szCs w:val="32"/>
        </w:rPr>
        <w:t xml:space="preserve">要做好规划的宣传解读，提高社会各界对规划的认知度，动员全社会关心支持矿业经济发展。积极开展相关培训指导，及时分析规划实施及监测评估典型案例，总结推广先进经验，凝聚矿产资源管理改革的共识与合力，为规划实施营造良好的社会环境。 </w:t>
      </w:r>
    </w:p>
    <w:p>
      <w:pPr>
        <w:widowControl/>
        <w:spacing w:line="560" w:lineRule="exact"/>
        <w:ind w:firstLine="482"/>
        <w:rPr>
          <w:rFonts w:ascii="Times New Roman"/>
        </w:rPr>
      </w:pPr>
      <w:r>
        <w:rPr>
          <w:rFonts w:ascii="Times New Roman"/>
          <w:b/>
          <w:bCs/>
          <w:sz w:val="32"/>
          <w:szCs w:val="32"/>
        </w:rPr>
        <w:t>加强安全生产。</w:t>
      </w:r>
      <w:r>
        <w:rPr>
          <w:rFonts w:ascii="Times New Roman" w:eastAsia="仿宋_GB2312"/>
          <w:sz w:val="32"/>
          <w:szCs w:val="32"/>
        </w:rPr>
        <w:t>加大矿产资源勘查开发安全生产监管力度，实现矿业秩序的根本好转，营造良好的安全生产环境。配合自然资源厅及州政府做好决定关闭矿山采矿许可证的注销工作；配合安监部门对安全隐患多、经济效益差、环境污染严重的小矿山实行依法关停；严格矿山新建、改扩建项目的审查把关。以地毯式排查和经常性巡查相结合，对矿产勘查、开采行为进行排查，对违法违规行为逐一立案，做到查处、整改、落实“三到位”。结合矿产卫片执法检查，对重点地区伪变化图斑进行逐一复查，跟踪督导整改情况，落实整改到位。对有重大影响的典型案件要挂牌督办，打击非法采矿、强化安全生产环境起到促进作用。</w:t>
      </w:r>
    </w:p>
    <w:sectPr>
      <w:footerReference r:id="rId13" w:type="default"/>
      <w:footerReference r:id="rId14" w:type="even"/>
      <w:pgSz w:w="11906" w:h="16838"/>
      <w:pgMar w:top="2098" w:right="1474" w:bottom="1985" w:left="1588" w:header="851" w:footer="992" w:gutter="0"/>
      <w:pgNumType w:start="1"/>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等线 Light">
    <w:panose1 w:val="02010600030101010101"/>
    <w:charset w:val="86"/>
    <w:family w:val="auto"/>
    <w:pitch w:val="default"/>
    <w:sig w:usb0="A00002BF" w:usb1="38CF7CFA" w:usb2="00000016" w:usb3="00000000" w:csb0="0004000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altName w:val="方正舒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319" w:wrap="around" w:vAnchor="text" w:hAnchor="page" w:x="5910" w:y="-7"/>
      <w:rPr>
        <w:rStyle w:val="40"/>
      </w:rPr>
    </w:pPr>
    <w:r>
      <w:fldChar w:fldCharType="begin"/>
    </w:r>
    <w:r>
      <w:rPr>
        <w:rStyle w:val="40"/>
      </w:rPr>
      <w:instrText xml:space="preserve">PAGE  </w:instrText>
    </w:r>
    <w:r>
      <w:fldChar w:fldCharType="separate"/>
    </w:r>
    <w:r>
      <w:rPr>
        <w:rStyle w:val="40"/>
      </w:rPr>
      <w:t>2</w:t>
    </w:r>
    <w:r>
      <w:fldChar w:fldCharType="end"/>
    </w:r>
  </w:p>
  <w:p>
    <w:pPr>
      <w:pStyle w:val="2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40"/>
      </w:rPr>
    </w:pPr>
    <w:r>
      <w:fldChar w:fldCharType="begin"/>
    </w:r>
    <w:r>
      <w:rPr>
        <w:rStyle w:val="40"/>
      </w:rPr>
      <w:instrText xml:space="preserve">PAGE  </w:instrText>
    </w:r>
    <w:r>
      <w:fldChar w:fldCharType="end"/>
    </w:r>
  </w:p>
  <w:p>
    <w:pPr>
      <w:pStyle w:val="2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before="120" w:after="120"/>
      <w:ind w:right="360" w:firstLine="70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inside" w:y="1"/>
    </w:pPr>
    <w:r>
      <w:fldChar w:fldCharType="begin"/>
    </w:r>
    <w:r>
      <w:instrText xml:space="preserve">PAGE  </w:instrText>
    </w:r>
    <w:r>
      <w:fldChar w:fldCharType="separate"/>
    </w:r>
    <w:r>
      <w:t>458</w:t>
    </w:r>
    <w:r>
      <w:fldChar w:fldCharType="end"/>
    </w:r>
  </w:p>
  <w:p>
    <w:pP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7930126"/>
      <w:docPartObj>
        <w:docPartGallery w:val="autotext"/>
      </w:docPartObj>
    </w:sdtPr>
    <w:sdtEndPr>
      <w:rPr>
        <w:rFonts w:ascii="Times New Roman"/>
      </w:rPr>
    </w:sdtEndPr>
    <w:sdtContent>
      <w:p>
        <w:pPr>
          <w:pStyle w:val="22"/>
          <w:jc w:val="center"/>
          <w:rPr>
            <w:rFonts w:ascii="Times New Roman"/>
          </w:rPr>
        </w:pPr>
        <w:r>
          <w:rPr>
            <w:rFonts w:ascii="Times New Roman"/>
          </w:rPr>
          <w:fldChar w:fldCharType="begin"/>
        </w:r>
        <w:r>
          <w:rPr>
            <w:rFonts w:ascii="Times New Roman"/>
          </w:rPr>
          <w:instrText xml:space="preserve">PAGE   \* MERGEFORMAT</w:instrText>
        </w:r>
        <w:r>
          <w:rPr>
            <w:rFonts w:ascii="Times New Roman"/>
          </w:rPr>
          <w:fldChar w:fldCharType="separate"/>
        </w:r>
        <w:r>
          <w:rPr>
            <w:rFonts w:ascii="Times New Roman"/>
            <w:lang w:val="zh-CN"/>
          </w:rPr>
          <w:t>17</w:t>
        </w:r>
        <w:r>
          <w:rPr>
            <w:rFonts w:ascii="Times New Roman"/>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inside" w:y="1"/>
    </w:pPr>
    <w:r>
      <w:fldChar w:fldCharType="begin"/>
    </w:r>
    <w:r>
      <w:instrText xml:space="preserve">PAGE  </w:instrText>
    </w:r>
    <w:r>
      <w:fldChar w:fldCharType="separate"/>
    </w:r>
    <w:r>
      <w:t>458</w:t>
    </w:r>
    <w:r>
      <w:fldChar w:fldCharType="end"/>
    </w:r>
  </w:p>
  <w:p>
    <w:pP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footnotePr>
    <w:footnote w:id="0"/>
    <w:footnote w:id="1"/>
  </w:footnotePr>
  <w:endnotePr>
    <w:numFmt w:val="decimal"/>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ZmYjNkYjQ3ODI0YzBmZDY0MzJmNGFkYWI2MjBiNTYifQ=="/>
  </w:docVars>
  <w:rsids>
    <w:rsidRoot w:val="00960812"/>
    <w:rsid w:val="000001CE"/>
    <w:rsid w:val="00001278"/>
    <w:rsid w:val="0000618F"/>
    <w:rsid w:val="00006569"/>
    <w:rsid w:val="00006E9A"/>
    <w:rsid w:val="00011DED"/>
    <w:rsid w:val="000149B2"/>
    <w:rsid w:val="000160F8"/>
    <w:rsid w:val="000252C4"/>
    <w:rsid w:val="00025934"/>
    <w:rsid w:val="00025A5C"/>
    <w:rsid w:val="00027138"/>
    <w:rsid w:val="00030A00"/>
    <w:rsid w:val="0003206D"/>
    <w:rsid w:val="00035229"/>
    <w:rsid w:val="00035B77"/>
    <w:rsid w:val="00036C2B"/>
    <w:rsid w:val="00037085"/>
    <w:rsid w:val="000477C2"/>
    <w:rsid w:val="000566FC"/>
    <w:rsid w:val="00056C2E"/>
    <w:rsid w:val="000608D4"/>
    <w:rsid w:val="00063F77"/>
    <w:rsid w:val="000647D8"/>
    <w:rsid w:val="00070240"/>
    <w:rsid w:val="00070475"/>
    <w:rsid w:val="00070593"/>
    <w:rsid w:val="00073671"/>
    <w:rsid w:val="00075CA4"/>
    <w:rsid w:val="00080356"/>
    <w:rsid w:val="00085828"/>
    <w:rsid w:val="00090085"/>
    <w:rsid w:val="000A3B59"/>
    <w:rsid w:val="000A5946"/>
    <w:rsid w:val="000A657B"/>
    <w:rsid w:val="000A6A14"/>
    <w:rsid w:val="000B1E1A"/>
    <w:rsid w:val="000B5135"/>
    <w:rsid w:val="000B54B1"/>
    <w:rsid w:val="000B7445"/>
    <w:rsid w:val="000C07FB"/>
    <w:rsid w:val="000C22D7"/>
    <w:rsid w:val="000C22F6"/>
    <w:rsid w:val="000C2805"/>
    <w:rsid w:val="000C5FDF"/>
    <w:rsid w:val="000C63C8"/>
    <w:rsid w:val="000D22D4"/>
    <w:rsid w:val="000D74E7"/>
    <w:rsid w:val="000E193D"/>
    <w:rsid w:val="000E3E7F"/>
    <w:rsid w:val="000E473A"/>
    <w:rsid w:val="000E72E3"/>
    <w:rsid w:val="000F37B5"/>
    <w:rsid w:val="000F535A"/>
    <w:rsid w:val="00113E68"/>
    <w:rsid w:val="001166CA"/>
    <w:rsid w:val="00116810"/>
    <w:rsid w:val="001214D7"/>
    <w:rsid w:val="00124BD8"/>
    <w:rsid w:val="001258C0"/>
    <w:rsid w:val="00126935"/>
    <w:rsid w:val="0013259D"/>
    <w:rsid w:val="0013493F"/>
    <w:rsid w:val="001412C4"/>
    <w:rsid w:val="0014249B"/>
    <w:rsid w:val="00144F75"/>
    <w:rsid w:val="00150A1E"/>
    <w:rsid w:val="00151D83"/>
    <w:rsid w:val="001526A3"/>
    <w:rsid w:val="001542D4"/>
    <w:rsid w:val="00155670"/>
    <w:rsid w:val="001560C8"/>
    <w:rsid w:val="001568A2"/>
    <w:rsid w:val="00160A12"/>
    <w:rsid w:val="0016100C"/>
    <w:rsid w:val="0016464D"/>
    <w:rsid w:val="00172F7B"/>
    <w:rsid w:val="001732CE"/>
    <w:rsid w:val="001852E9"/>
    <w:rsid w:val="00191081"/>
    <w:rsid w:val="001937FF"/>
    <w:rsid w:val="0019388F"/>
    <w:rsid w:val="001A77DF"/>
    <w:rsid w:val="001B1D67"/>
    <w:rsid w:val="001B366F"/>
    <w:rsid w:val="001B6A35"/>
    <w:rsid w:val="001C051A"/>
    <w:rsid w:val="001C08E4"/>
    <w:rsid w:val="001C0F48"/>
    <w:rsid w:val="001C4A4D"/>
    <w:rsid w:val="001D0F75"/>
    <w:rsid w:val="001D3F8F"/>
    <w:rsid w:val="001E3B82"/>
    <w:rsid w:val="001E4A4E"/>
    <w:rsid w:val="001F1758"/>
    <w:rsid w:val="001F4F92"/>
    <w:rsid w:val="001F7108"/>
    <w:rsid w:val="002019DE"/>
    <w:rsid w:val="00205938"/>
    <w:rsid w:val="00210229"/>
    <w:rsid w:val="002113A9"/>
    <w:rsid w:val="002126DA"/>
    <w:rsid w:val="002128CD"/>
    <w:rsid w:val="00212AAF"/>
    <w:rsid w:val="00216A6B"/>
    <w:rsid w:val="0022689F"/>
    <w:rsid w:val="00234E1F"/>
    <w:rsid w:val="00235786"/>
    <w:rsid w:val="00237840"/>
    <w:rsid w:val="00237CCB"/>
    <w:rsid w:val="002415A5"/>
    <w:rsid w:val="002538EB"/>
    <w:rsid w:val="00255923"/>
    <w:rsid w:val="002569E1"/>
    <w:rsid w:val="002606E0"/>
    <w:rsid w:val="00270B45"/>
    <w:rsid w:val="00271877"/>
    <w:rsid w:val="0027239A"/>
    <w:rsid w:val="00275914"/>
    <w:rsid w:val="002823DB"/>
    <w:rsid w:val="002856EC"/>
    <w:rsid w:val="00286258"/>
    <w:rsid w:val="00295E14"/>
    <w:rsid w:val="00296694"/>
    <w:rsid w:val="002A19CC"/>
    <w:rsid w:val="002A4127"/>
    <w:rsid w:val="002A61A9"/>
    <w:rsid w:val="002A7F5A"/>
    <w:rsid w:val="002B0C41"/>
    <w:rsid w:val="002B36A4"/>
    <w:rsid w:val="002B3841"/>
    <w:rsid w:val="002C15F9"/>
    <w:rsid w:val="002C1E61"/>
    <w:rsid w:val="002C6521"/>
    <w:rsid w:val="002D1AF5"/>
    <w:rsid w:val="002D2617"/>
    <w:rsid w:val="002D269A"/>
    <w:rsid w:val="002D4A00"/>
    <w:rsid w:val="002D78AD"/>
    <w:rsid w:val="002E2990"/>
    <w:rsid w:val="002E6733"/>
    <w:rsid w:val="002E7944"/>
    <w:rsid w:val="002F3792"/>
    <w:rsid w:val="002F3F7C"/>
    <w:rsid w:val="002F4687"/>
    <w:rsid w:val="00302CE4"/>
    <w:rsid w:val="00304C1B"/>
    <w:rsid w:val="00324927"/>
    <w:rsid w:val="0032595E"/>
    <w:rsid w:val="00327F43"/>
    <w:rsid w:val="00334F5F"/>
    <w:rsid w:val="00343183"/>
    <w:rsid w:val="00343804"/>
    <w:rsid w:val="0034619F"/>
    <w:rsid w:val="00347925"/>
    <w:rsid w:val="00351A18"/>
    <w:rsid w:val="00353286"/>
    <w:rsid w:val="0035420F"/>
    <w:rsid w:val="003543CE"/>
    <w:rsid w:val="0035579B"/>
    <w:rsid w:val="00360C7B"/>
    <w:rsid w:val="00363C55"/>
    <w:rsid w:val="00364025"/>
    <w:rsid w:val="00365B64"/>
    <w:rsid w:val="0036700C"/>
    <w:rsid w:val="003678A7"/>
    <w:rsid w:val="003679A3"/>
    <w:rsid w:val="003744E7"/>
    <w:rsid w:val="00376B90"/>
    <w:rsid w:val="003776A8"/>
    <w:rsid w:val="00381F20"/>
    <w:rsid w:val="00384D80"/>
    <w:rsid w:val="00385F2D"/>
    <w:rsid w:val="00387925"/>
    <w:rsid w:val="0039705F"/>
    <w:rsid w:val="0039748E"/>
    <w:rsid w:val="003A116B"/>
    <w:rsid w:val="003A3AD2"/>
    <w:rsid w:val="003A55D8"/>
    <w:rsid w:val="003B170D"/>
    <w:rsid w:val="003B230C"/>
    <w:rsid w:val="003B3561"/>
    <w:rsid w:val="003B59D8"/>
    <w:rsid w:val="003B7476"/>
    <w:rsid w:val="003C3288"/>
    <w:rsid w:val="003C3655"/>
    <w:rsid w:val="003C42E1"/>
    <w:rsid w:val="003C470F"/>
    <w:rsid w:val="003C5388"/>
    <w:rsid w:val="003D0C97"/>
    <w:rsid w:val="003D40C0"/>
    <w:rsid w:val="003D5738"/>
    <w:rsid w:val="003D606A"/>
    <w:rsid w:val="003E1D7D"/>
    <w:rsid w:val="003E33FB"/>
    <w:rsid w:val="003E6038"/>
    <w:rsid w:val="003E6EA1"/>
    <w:rsid w:val="003E754B"/>
    <w:rsid w:val="003F0A42"/>
    <w:rsid w:val="003F6ABF"/>
    <w:rsid w:val="003F6AE1"/>
    <w:rsid w:val="00404F31"/>
    <w:rsid w:val="0040529D"/>
    <w:rsid w:val="00406019"/>
    <w:rsid w:val="00407A11"/>
    <w:rsid w:val="00407A49"/>
    <w:rsid w:val="00413235"/>
    <w:rsid w:val="00414F23"/>
    <w:rsid w:val="00415580"/>
    <w:rsid w:val="004250B8"/>
    <w:rsid w:val="0043219A"/>
    <w:rsid w:val="00433623"/>
    <w:rsid w:val="00433D40"/>
    <w:rsid w:val="00441E3A"/>
    <w:rsid w:val="00446060"/>
    <w:rsid w:val="0044733E"/>
    <w:rsid w:val="0045028C"/>
    <w:rsid w:val="004508B0"/>
    <w:rsid w:val="00452B22"/>
    <w:rsid w:val="00453430"/>
    <w:rsid w:val="00455220"/>
    <w:rsid w:val="00461723"/>
    <w:rsid w:val="0046231D"/>
    <w:rsid w:val="0046322E"/>
    <w:rsid w:val="004660E7"/>
    <w:rsid w:val="00467E56"/>
    <w:rsid w:val="00474E01"/>
    <w:rsid w:val="00476589"/>
    <w:rsid w:val="00477BE8"/>
    <w:rsid w:val="00480D88"/>
    <w:rsid w:val="00482DC0"/>
    <w:rsid w:val="0048595D"/>
    <w:rsid w:val="00494EF9"/>
    <w:rsid w:val="00496506"/>
    <w:rsid w:val="004A058E"/>
    <w:rsid w:val="004A1798"/>
    <w:rsid w:val="004A1890"/>
    <w:rsid w:val="004A29B6"/>
    <w:rsid w:val="004A742A"/>
    <w:rsid w:val="004A7A10"/>
    <w:rsid w:val="004B0982"/>
    <w:rsid w:val="004B0CEC"/>
    <w:rsid w:val="004B461D"/>
    <w:rsid w:val="004B4662"/>
    <w:rsid w:val="004B5ED5"/>
    <w:rsid w:val="004B7DEE"/>
    <w:rsid w:val="004C06C6"/>
    <w:rsid w:val="004C0D65"/>
    <w:rsid w:val="004C1E0C"/>
    <w:rsid w:val="004C5B10"/>
    <w:rsid w:val="004C5E49"/>
    <w:rsid w:val="004D131B"/>
    <w:rsid w:val="004D1AF3"/>
    <w:rsid w:val="004D4B05"/>
    <w:rsid w:val="004D674F"/>
    <w:rsid w:val="004D6B3F"/>
    <w:rsid w:val="004E056C"/>
    <w:rsid w:val="004E1D35"/>
    <w:rsid w:val="004E2FDD"/>
    <w:rsid w:val="004F0B04"/>
    <w:rsid w:val="004F1E59"/>
    <w:rsid w:val="004F2778"/>
    <w:rsid w:val="004F5A29"/>
    <w:rsid w:val="004F6A74"/>
    <w:rsid w:val="004F7E83"/>
    <w:rsid w:val="00500E23"/>
    <w:rsid w:val="00504CCC"/>
    <w:rsid w:val="00505B59"/>
    <w:rsid w:val="00513F58"/>
    <w:rsid w:val="005157BC"/>
    <w:rsid w:val="005163CF"/>
    <w:rsid w:val="005166B5"/>
    <w:rsid w:val="00516B2C"/>
    <w:rsid w:val="0052111C"/>
    <w:rsid w:val="00522615"/>
    <w:rsid w:val="0053189E"/>
    <w:rsid w:val="00532C77"/>
    <w:rsid w:val="005359F1"/>
    <w:rsid w:val="00537201"/>
    <w:rsid w:val="00550D5D"/>
    <w:rsid w:val="00551AFF"/>
    <w:rsid w:val="00565096"/>
    <w:rsid w:val="005650D8"/>
    <w:rsid w:val="005678C5"/>
    <w:rsid w:val="0057082C"/>
    <w:rsid w:val="005741D9"/>
    <w:rsid w:val="00576A96"/>
    <w:rsid w:val="005836C0"/>
    <w:rsid w:val="005864DD"/>
    <w:rsid w:val="00587305"/>
    <w:rsid w:val="005929F1"/>
    <w:rsid w:val="005949CE"/>
    <w:rsid w:val="00596C7C"/>
    <w:rsid w:val="005A0BCD"/>
    <w:rsid w:val="005A452F"/>
    <w:rsid w:val="005A5EEB"/>
    <w:rsid w:val="005B0E35"/>
    <w:rsid w:val="005B176C"/>
    <w:rsid w:val="005B1B9C"/>
    <w:rsid w:val="005B3151"/>
    <w:rsid w:val="005C7315"/>
    <w:rsid w:val="005D1617"/>
    <w:rsid w:val="005D1630"/>
    <w:rsid w:val="005D444D"/>
    <w:rsid w:val="005E049C"/>
    <w:rsid w:val="005E168D"/>
    <w:rsid w:val="005F56C1"/>
    <w:rsid w:val="005F6AE5"/>
    <w:rsid w:val="005F7841"/>
    <w:rsid w:val="0060043D"/>
    <w:rsid w:val="006004BA"/>
    <w:rsid w:val="00600955"/>
    <w:rsid w:val="00601DB9"/>
    <w:rsid w:val="0061689F"/>
    <w:rsid w:val="00621857"/>
    <w:rsid w:val="0062301B"/>
    <w:rsid w:val="0063712B"/>
    <w:rsid w:val="00637159"/>
    <w:rsid w:val="0064099A"/>
    <w:rsid w:val="0065235D"/>
    <w:rsid w:val="006545EC"/>
    <w:rsid w:val="00657437"/>
    <w:rsid w:val="00666E15"/>
    <w:rsid w:val="006670AE"/>
    <w:rsid w:val="0067157F"/>
    <w:rsid w:val="0067277C"/>
    <w:rsid w:val="0068398F"/>
    <w:rsid w:val="00685160"/>
    <w:rsid w:val="0068641F"/>
    <w:rsid w:val="00686C53"/>
    <w:rsid w:val="0069085F"/>
    <w:rsid w:val="00692663"/>
    <w:rsid w:val="00697EFD"/>
    <w:rsid w:val="006A1925"/>
    <w:rsid w:val="006A35A9"/>
    <w:rsid w:val="006A4945"/>
    <w:rsid w:val="006A5C70"/>
    <w:rsid w:val="006A68CD"/>
    <w:rsid w:val="006A6F51"/>
    <w:rsid w:val="006A74B2"/>
    <w:rsid w:val="006A7A7F"/>
    <w:rsid w:val="006B0545"/>
    <w:rsid w:val="006B66D0"/>
    <w:rsid w:val="006B6A14"/>
    <w:rsid w:val="006B6B81"/>
    <w:rsid w:val="006B7F65"/>
    <w:rsid w:val="006C04AE"/>
    <w:rsid w:val="006C18CF"/>
    <w:rsid w:val="006C62FD"/>
    <w:rsid w:val="006C6E48"/>
    <w:rsid w:val="006D2B96"/>
    <w:rsid w:val="006D46CA"/>
    <w:rsid w:val="006D5856"/>
    <w:rsid w:val="006E7734"/>
    <w:rsid w:val="006F174D"/>
    <w:rsid w:val="006F1F6D"/>
    <w:rsid w:val="006F51BF"/>
    <w:rsid w:val="006F5A8F"/>
    <w:rsid w:val="006F5EE6"/>
    <w:rsid w:val="006F6602"/>
    <w:rsid w:val="007120BE"/>
    <w:rsid w:val="00713E02"/>
    <w:rsid w:val="0071445E"/>
    <w:rsid w:val="007205D6"/>
    <w:rsid w:val="00725E8B"/>
    <w:rsid w:val="00727E8D"/>
    <w:rsid w:val="007300E9"/>
    <w:rsid w:val="00733668"/>
    <w:rsid w:val="00734059"/>
    <w:rsid w:val="00736D17"/>
    <w:rsid w:val="007427CE"/>
    <w:rsid w:val="007537A7"/>
    <w:rsid w:val="00764B56"/>
    <w:rsid w:val="00766333"/>
    <w:rsid w:val="007717C8"/>
    <w:rsid w:val="007718C5"/>
    <w:rsid w:val="00774916"/>
    <w:rsid w:val="00786FF0"/>
    <w:rsid w:val="00793EEA"/>
    <w:rsid w:val="007A1094"/>
    <w:rsid w:val="007A2ABA"/>
    <w:rsid w:val="007A3F58"/>
    <w:rsid w:val="007B040F"/>
    <w:rsid w:val="007C622A"/>
    <w:rsid w:val="007D4D2C"/>
    <w:rsid w:val="007D51EC"/>
    <w:rsid w:val="007D6D44"/>
    <w:rsid w:val="007E1C80"/>
    <w:rsid w:val="007E3136"/>
    <w:rsid w:val="007E4520"/>
    <w:rsid w:val="007E7E98"/>
    <w:rsid w:val="007F048A"/>
    <w:rsid w:val="007F5781"/>
    <w:rsid w:val="007F688E"/>
    <w:rsid w:val="00801A76"/>
    <w:rsid w:val="00803B0D"/>
    <w:rsid w:val="00805827"/>
    <w:rsid w:val="008100E6"/>
    <w:rsid w:val="00823054"/>
    <w:rsid w:val="00824305"/>
    <w:rsid w:val="00830D82"/>
    <w:rsid w:val="00834614"/>
    <w:rsid w:val="008367DD"/>
    <w:rsid w:val="00842615"/>
    <w:rsid w:val="00843D71"/>
    <w:rsid w:val="00856827"/>
    <w:rsid w:val="0086110D"/>
    <w:rsid w:val="00861D92"/>
    <w:rsid w:val="00863C83"/>
    <w:rsid w:val="00865330"/>
    <w:rsid w:val="00872776"/>
    <w:rsid w:val="0087736F"/>
    <w:rsid w:val="00877899"/>
    <w:rsid w:val="00880580"/>
    <w:rsid w:val="0088165A"/>
    <w:rsid w:val="00882BF7"/>
    <w:rsid w:val="008839E7"/>
    <w:rsid w:val="00883FEC"/>
    <w:rsid w:val="0089372E"/>
    <w:rsid w:val="00893DD2"/>
    <w:rsid w:val="008A2492"/>
    <w:rsid w:val="008B0FCE"/>
    <w:rsid w:val="008B1514"/>
    <w:rsid w:val="008B5411"/>
    <w:rsid w:val="008B6AF6"/>
    <w:rsid w:val="008B72CC"/>
    <w:rsid w:val="008D5513"/>
    <w:rsid w:val="008D6B7D"/>
    <w:rsid w:val="008D7282"/>
    <w:rsid w:val="008D7F66"/>
    <w:rsid w:val="008E3A5F"/>
    <w:rsid w:val="008E666A"/>
    <w:rsid w:val="008E68B5"/>
    <w:rsid w:val="008F0BA9"/>
    <w:rsid w:val="008F12C0"/>
    <w:rsid w:val="008F6C9C"/>
    <w:rsid w:val="008F7BCC"/>
    <w:rsid w:val="009055D9"/>
    <w:rsid w:val="00905D0E"/>
    <w:rsid w:val="00906373"/>
    <w:rsid w:val="00914E32"/>
    <w:rsid w:val="00922706"/>
    <w:rsid w:val="00925CDD"/>
    <w:rsid w:val="0093049E"/>
    <w:rsid w:val="00932D20"/>
    <w:rsid w:val="00935B08"/>
    <w:rsid w:val="00951562"/>
    <w:rsid w:val="00960812"/>
    <w:rsid w:val="00960CB1"/>
    <w:rsid w:val="00962C80"/>
    <w:rsid w:val="00963012"/>
    <w:rsid w:val="00967E4F"/>
    <w:rsid w:val="00970874"/>
    <w:rsid w:val="00970B9B"/>
    <w:rsid w:val="00970F7E"/>
    <w:rsid w:val="0097118F"/>
    <w:rsid w:val="00971923"/>
    <w:rsid w:val="00971F3A"/>
    <w:rsid w:val="0098012D"/>
    <w:rsid w:val="00983158"/>
    <w:rsid w:val="00987D6D"/>
    <w:rsid w:val="00987DE0"/>
    <w:rsid w:val="00992642"/>
    <w:rsid w:val="009A06D7"/>
    <w:rsid w:val="009A40A3"/>
    <w:rsid w:val="009A64C5"/>
    <w:rsid w:val="009A6842"/>
    <w:rsid w:val="009B0D3A"/>
    <w:rsid w:val="009B12BE"/>
    <w:rsid w:val="009B37E4"/>
    <w:rsid w:val="009B5DF0"/>
    <w:rsid w:val="009B7471"/>
    <w:rsid w:val="009C0F61"/>
    <w:rsid w:val="009C3C09"/>
    <w:rsid w:val="009C59C0"/>
    <w:rsid w:val="009C7663"/>
    <w:rsid w:val="009D0214"/>
    <w:rsid w:val="009D2B45"/>
    <w:rsid w:val="009D572E"/>
    <w:rsid w:val="009E1B9B"/>
    <w:rsid w:val="009E3707"/>
    <w:rsid w:val="009E63AB"/>
    <w:rsid w:val="009F2A77"/>
    <w:rsid w:val="009F2E95"/>
    <w:rsid w:val="009F3754"/>
    <w:rsid w:val="009F37DC"/>
    <w:rsid w:val="009F4228"/>
    <w:rsid w:val="009F51DC"/>
    <w:rsid w:val="00A06160"/>
    <w:rsid w:val="00A0735A"/>
    <w:rsid w:val="00A07C15"/>
    <w:rsid w:val="00A10C24"/>
    <w:rsid w:val="00A1487B"/>
    <w:rsid w:val="00A15962"/>
    <w:rsid w:val="00A24716"/>
    <w:rsid w:val="00A2590D"/>
    <w:rsid w:val="00A25F21"/>
    <w:rsid w:val="00A30436"/>
    <w:rsid w:val="00A31BA7"/>
    <w:rsid w:val="00A3446E"/>
    <w:rsid w:val="00A34A1D"/>
    <w:rsid w:val="00A34D74"/>
    <w:rsid w:val="00A40BE0"/>
    <w:rsid w:val="00A42831"/>
    <w:rsid w:val="00A42BAB"/>
    <w:rsid w:val="00A42EE2"/>
    <w:rsid w:val="00A5445D"/>
    <w:rsid w:val="00A57A72"/>
    <w:rsid w:val="00A66243"/>
    <w:rsid w:val="00A70319"/>
    <w:rsid w:val="00A70A27"/>
    <w:rsid w:val="00A758BE"/>
    <w:rsid w:val="00A7623B"/>
    <w:rsid w:val="00A80476"/>
    <w:rsid w:val="00A81C7C"/>
    <w:rsid w:val="00A84BD2"/>
    <w:rsid w:val="00A84FE4"/>
    <w:rsid w:val="00A8731C"/>
    <w:rsid w:val="00A967BF"/>
    <w:rsid w:val="00A971F1"/>
    <w:rsid w:val="00AA475C"/>
    <w:rsid w:val="00AA48FE"/>
    <w:rsid w:val="00AA6211"/>
    <w:rsid w:val="00AB6893"/>
    <w:rsid w:val="00AB7574"/>
    <w:rsid w:val="00AC239C"/>
    <w:rsid w:val="00AC40D6"/>
    <w:rsid w:val="00AD01F6"/>
    <w:rsid w:val="00AD159A"/>
    <w:rsid w:val="00AD388C"/>
    <w:rsid w:val="00AE1CC2"/>
    <w:rsid w:val="00AE6331"/>
    <w:rsid w:val="00AF2BCB"/>
    <w:rsid w:val="00AF3845"/>
    <w:rsid w:val="00AF4BA6"/>
    <w:rsid w:val="00AF4C5B"/>
    <w:rsid w:val="00B00F9C"/>
    <w:rsid w:val="00B0432A"/>
    <w:rsid w:val="00B138DB"/>
    <w:rsid w:val="00B179B6"/>
    <w:rsid w:val="00B2188E"/>
    <w:rsid w:val="00B22767"/>
    <w:rsid w:val="00B24094"/>
    <w:rsid w:val="00B24889"/>
    <w:rsid w:val="00B25306"/>
    <w:rsid w:val="00B2589B"/>
    <w:rsid w:val="00B27A86"/>
    <w:rsid w:val="00B27C7B"/>
    <w:rsid w:val="00B3764B"/>
    <w:rsid w:val="00B4288A"/>
    <w:rsid w:val="00B446E1"/>
    <w:rsid w:val="00B4533C"/>
    <w:rsid w:val="00B50FB2"/>
    <w:rsid w:val="00B52493"/>
    <w:rsid w:val="00B61146"/>
    <w:rsid w:val="00B65976"/>
    <w:rsid w:val="00B65EAD"/>
    <w:rsid w:val="00B65EAE"/>
    <w:rsid w:val="00B66810"/>
    <w:rsid w:val="00B70594"/>
    <w:rsid w:val="00B705D3"/>
    <w:rsid w:val="00B742BB"/>
    <w:rsid w:val="00B76FA7"/>
    <w:rsid w:val="00B7787C"/>
    <w:rsid w:val="00B77932"/>
    <w:rsid w:val="00B77CAA"/>
    <w:rsid w:val="00B77E46"/>
    <w:rsid w:val="00B80E59"/>
    <w:rsid w:val="00B81232"/>
    <w:rsid w:val="00B93B0D"/>
    <w:rsid w:val="00B956A9"/>
    <w:rsid w:val="00BA07FC"/>
    <w:rsid w:val="00BB3D8C"/>
    <w:rsid w:val="00BB6A09"/>
    <w:rsid w:val="00BB759B"/>
    <w:rsid w:val="00BC2B63"/>
    <w:rsid w:val="00BC3304"/>
    <w:rsid w:val="00BC69C9"/>
    <w:rsid w:val="00BD331F"/>
    <w:rsid w:val="00BE2101"/>
    <w:rsid w:val="00BE5FB5"/>
    <w:rsid w:val="00BE7F8F"/>
    <w:rsid w:val="00BF506B"/>
    <w:rsid w:val="00BF5370"/>
    <w:rsid w:val="00C00710"/>
    <w:rsid w:val="00C10205"/>
    <w:rsid w:val="00C10224"/>
    <w:rsid w:val="00C12BE9"/>
    <w:rsid w:val="00C13592"/>
    <w:rsid w:val="00C16DDF"/>
    <w:rsid w:val="00C221AA"/>
    <w:rsid w:val="00C22E19"/>
    <w:rsid w:val="00C238E4"/>
    <w:rsid w:val="00C2475A"/>
    <w:rsid w:val="00C26411"/>
    <w:rsid w:val="00C3651F"/>
    <w:rsid w:val="00C40EB5"/>
    <w:rsid w:val="00C4607D"/>
    <w:rsid w:val="00C51748"/>
    <w:rsid w:val="00C526D9"/>
    <w:rsid w:val="00C53496"/>
    <w:rsid w:val="00C61F1B"/>
    <w:rsid w:val="00C635C0"/>
    <w:rsid w:val="00C64B4D"/>
    <w:rsid w:val="00C76961"/>
    <w:rsid w:val="00C77A9B"/>
    <w:rsid w:val="00C80F6D"/>
    <w:rsid w:val="00C917D5"/>
    <w:rsid w:val="00CA6D62"/>
    <w:rsid w:val="00CB32BA"/>
    <w:rsid w:val="00CB77C1"/>
    <w:rsid w:val="00CC0C61"/>
    <w:rsid w:val="00CC3177"/>
    <w:rsid w:val="00CC3F9E"/>
    <w:rsid w:val="00CC479E"/>
    <w:rsid w:val="00CD03D9"/>
    <w:rsid w:val="00CD04F0"/>
    <w:rsid w:val="00CD0CDB"/>
    <w:rsid w:val="00CD4B2B"/>
    <w:rsid w:val="00CE2A5D"/>
    <w:rsid w:val="00CE3977"/>
    <w:rsid w:val="00CE4CA5"/>
    <w:rsid w:val="00CF0D8A"/>
    <w:rsid w:val="00CF2AF5"/>
    <w:rsid w:val="00CF44B2"/>
    <w:rsid w:val="00CF718E"/>
    <w:rsid w:val="00D0303C"/>
    <w:rsid w:val="00D05214"/>
    <w:rsid w:val="00D05E23"/>
    <w:rsid w:val="00D06234"/>
    <w:rsid w:val="00D141DD"/>
    <w:rsid w:val="00D154C6"/>
    <w:rsid w:val="00D16057"/>
    <w:rsid w:val="00D161B5"/>
    <w:rsid w:val="00D1768E"/>
    <w:rsid w:val="00D201FC"/>
    <w:rsid w:val="00D21B5C"/>
    <w:rsid w:val="00D24604"/>
    <w:rsid w:val="00D30D02"/>
    <w:rsid w:val="00D31361"/>
    <w:rsid w:val="00D37127"/>
    <w:rsid w:val="00D420EA"/>
    <w:rsid w:val="00D45571"/>
    <w:rsid w:val="00D553AB"/>
    <w:rsid w:val="00D55EA6"/>
    <w:rsid w:val="00D6015D"/>
    <w:rsid w:val="00D60D69"/>
    <w:rsid w:val="00D61893"/>
    <w:rsid w:val="00D6256E"/>
    <w:rsid w:val="00D66BC6"/>
    <w:rsid w:val="00D6734B"/>
    <w:rsid w:val="00D67E00"/>
    <w:rsid w:val="00D74F0A"/>
    <w:rsid w:val="00D7653C"/>
    <w:rsid w:val="00D76BD9"/>
    <w:rsid w:val="00D77FEC"/>
    <w:rsid w:val="00D86687"/>
    <w:rsid w:val="00D8669A"/>
    <w:rsid w:val="00D97907"/>
    <w:rsid w:val="00DA000A"/>
    <w:rsid w:val="00DA1C6F"/>
    <w:rsid w:val="00DA2185"/>
    <w:rsid w:val="00DA776A"/>
    <w:rsid w:val="00DB273D"/>
    <w:rsid w:val="00DB35E2"/>
    <w:rsid w:val="00DB6453"/>
    <w:rsid w:val="00DB7D66"/>
    <w:rsid w:val="00DC0C83"/>
    <w:rsid w:val="00DC0F47"/>
    <w:rsid w:val="00DC2145"/>
    <w:rsid w:val="00DC40A9"/>
    <w:rsid w:val="00DC433B"/>
    <w:rsid w:val="00DC7D7D"/>
    <w:rsid w:val="00DD11ED"/>
    <w:rsid w:val="00DD79C8"/>
    <w:rsid w:val="00DE35AA"/>
    <w:rsid w:val="00DE360D"/>
    <w:rsid w:val="00DE6142"/>
    <w:rsid w:val="00DE6C19"/>
    <w:rsid w:val="00DE7925"/>
    <w:rsid w:val="00DE7AA1"/>
    <w:rsid w:val="00DF25F9"/>
    <w:rsid w:val="00DF3569"/>
    <w:rsid w:val="00DF3FC6"/>
    <w:rsid w:val="00DF4770"/>
    <w:rsid w:val="00E007A6"/>
    <w:rsid w:val="00E03442"/>
    <w:rsid w:val="00E0587D"/>
    <w:rsid w:val="00E126EF"/>
    <w:rsid w:val="00E141F7"/>
    <w:rsid w:val="00E143C8"/>
    <w:rsid w:val="00E14A95"/>
    <w:rsid w:val="00E20CD6"/>
    <w:rsid w:val="00E2667D"/>
    <w:rsid w:val="00E335E1"/>
    <w:rsid w:val="00E35304"/>
    <w:rsid w:val="00E40FDB"/>
    <w:rsid w:val="00E53AAA"/>
    <w:rsid w:val="00E54E08"/>
    <w:rsid w:val="00E55409"/>
    <w:rsid w:val="00E56BDD"/>
    <w:rsid w:val="00E622BC"/>
    <w:rsid w:val="00E646A0"/>
    <w:rsid w:val="00E65024"/>
    <w:rsid w:val="00E66F62"/>
    <w:rsid w:val="00E7162D"/>
    <w:rsid w:val="00E75E18"/>
    <w:rsid w:val="00E83D74"/>
    <w:rsid w:val="00E878D3"/>
    <w:rsid w:val="00E915A1"/>
    <w:rsid w:val="00E91E69"/>
    <w:rsid w:val="00E95AD1"/>
    <w:rsid w:val="00EA03F4"/>
    <w:rsid w:val="00EA04F0"/>
    <w:rsid w:val="00EA1A8E"/>
    <w:rsid w:val="00EA35DA"/>
    <w:rsid w:val="00EA412C"/>
    <w:rsid w:val="00EA4DC6"/>
    <w:rsid w:val="00EA7043"/>
    <w:rsid w:val="00EB029D"/>
    <w:rsid w:val="00EB7CD8"/>
    <w:rsid w:val="00EC2231"/>
    <w:rsid w:val="00EC386C"/>
    <w:rsid w:val="00EC38B8"/>
    <w:rsid w:val="00ED03A4"/>
    <w:rsid w:val="00ED1665"/>
    <w:rsid w:val="00ED19CC"/>
    <w:rsid w:val="00ED3EEE"/>
    <w:rsid w:val="00EE32DC"/>
    <w:rsid w:val="00EF35EB"/>
    <w:rsid w:val="00EF49E8"/>
    <w:rsid w:val="00EF5A28"/>
    <w:rsid w:val="00EF7F93"/>
    <w:rsid w:val="00F054D3"/>
    <w:rsid w:val="00F06697"/>
    <w:rsid w:val="00F10BD4"/>
    <w:rsid w:val="00F1266E"/>
    <w:rsid w:val="00F1410E"/>
    <w:rsid w:val="00F16207"/>
    <w:rsid w:val="00F17C07"/>
    <w:rsid w:val="00F20F3F"/>
    <w:rsid w:val="00F21978"/>
    <w:rsid w:val="00F2365E"/>
    <w:rsid w:val="00F270D9"/>
    <w:rsid w:val="00F27FFB"/>
    <w:rsid w:val="00F3014C"/>
    <w:rsid w:val="00F31D35"/>
    <w:rsid w:val="00F32FD4"/>
    <w:rsid w:val="00F33EE5"/>
    <w:rsid w:val="00F35B3F"/>
    <w:rsid w:val="00F365C1"/>
    <w:rsid w:val="00F458CC"/>
    <w:rsid w:val="00F509F7"/>
    <w:rsid w:val="00F5197A"/>
    <w:rsid w:val="00F53647"/>
    <w:rsid w:val="00F625AD"/>
    <w:rsid w:val="00F70216"/>
    <w:rsid w:val="00F723E1"/>
    <w:rsid w:val="00F744C2"/>
    <w:rsid w:val="00F745B2"/>
    <w:rsid w:val="00F74693"/>
    <w:rsid w:val="00F75617"/>
    <w:rsid w:val="00F77814"/>
    <w:rsid w:val="00F77DA7"/>
    <w:rsid w:val="00F77DDF"/>
    <w:rsid w:val="00F90754"/>
    <w:rsid w:val="00F94FD8"/>
    <w:rsid w:val="00F967F7"/>
    <w:rsid w:val="00F9767A"/>
    <w:rsid w:val="00F97A5F"/>
    <w:rsid w:val="00FA0634"/>
    <w:rsid w:val="00FA190A"/>
    <w:rsid w:val="00FB25CC"/>
    <w:rsid w:val="00FB2B01"/>
    <w:rsid w:val="00FB474D"/>
    <w:rsid w:val="00FB5C14"/>
    <w:rsid w:val="00FC2F83"/>
    <w:rsid w:val="00FC341F"/>
    <w:rsid w:val="00FD0CF8"/>
    <w:rsid w:val="00FD1618"/>
    <w:rsid w:val="00FD36C8"/>
    <w:rsid w:val="00FD5256"/>
    <w:rsid w:val="00FD6A54"/>
    <w:rsid w:val="00FE0C05"/>
    <w:rsid w:val="00FE14BF"/>
    <w:rsid w:val="00FE1AAA"/>
    <w:rsid w:val="00FE25D8"/>
    <w:rsid w:val="00FE4368"/>
    <w:rsid w:val="00FF192D"/>
    <w:rsid w:val="00FF59DC"/>
    <w:rsid w:val="00FF626E"/>
    <w:rsid w:val="00FF7182"/>
    <w:rsid w:val="01650170"/>
    <w:rsid w:val="1BA56769"/>
    <w:rsid w:val="495C7B80"/>
    <w:rsid w:val="71F74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qFormat="1" w:unhideWhenUsed="0" w:uiPriority="0" w:semiHidden="0" w:name="List 2"/>
    <w:lsdException w:qFormat="1" w:unhideWhenUsed="0" w:uiPriority="0" w:semiHidden="0" w:name="List 3"/>
    <w:lsdException w:qFormat="1" w:unhideWhenUsed="0" w:uiPriority="0" w:semiHidden="0"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qFormat="1"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qFormat="1"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jc w:val="both"/>
    </w:pPr>
    <w:rPr>
      <w:rFonts w:ascii="宋体" w:hAnsi="Times New Roman" w:eastAsia="仿宋" w:cs="Times New Roman"/>
      <w:snapToGrid w:val="0"/>
      <w:spacing w:val="4"/>
      <w:sz w:val="28"/>
      <w:szCs w:val="24"/>
      <w:lang w:val="en-US" w:eastAsia="zh-CN" w:bidi="ar-SA"/>
    </w:rPr>
  </w:style>
  <w:style w:type="paragraph" w:styleId="2">
    <w:name w:val="heading 1"/>
    <w:basedOn w:val="1"/>
    <w:next w:val="1"/>
    <w:link w:val="102"/>
    <w:qFormat/>
    <w:uiPriority w:val="0"/>
    <w:pPr>
      <w:keepNext/>
      <w:keepLines/>
      <w:pageBreakBefore/>
      <w:spacing w:before="50" w:beforeLines="50" w:after="50" w:afterLines="50"/>
      <w:jc w:val="center"/>
      <w:outlineLvl w:val="0"/>
    </w:pPr>
    <w:rPr>
      <w:b/>
      <w:spacing w:val="0"/>
      <w:kern w:val="44"/>
      <w:sz w:val="44"/>
    </w:rPr>
  </w:style>
  <w:style w:type="paragraph" w:styleId="3">
    <w:name w:val="heading 2"/>
    <w:basedOn w:val="1"/>
    <w:next w:val="1"/>
    <w:link w:val="100"/>
    <w:qFormat/>
    <w:uiPriority w:val="0"/>
    <w:pPr>
      <w:keepNext/>
      <w:keepLines/>
      <w:snapToGrid/>
      <w:spacing w:before="50" w:beforeLines="50" w:after="50" w:afterLines="50"/>
      <w:jc w:val="center"/>
      <w:outlineLvl w:val="1"/>
    </w:pPr>
    <w:rPr>
      <w:rFonts w:ascii="Arial" w:hAnsi="Arial"/>
      <w:b/>
      <w:sz w:val="36"/>
    </w:rPr>
  </w:style>
  <w:style w:type="paragraph" w:styleId="4">
    <w:name w:val="heading 3"/>
    <w:basedOn w:val="1"/>
    <w:next w:val="1"/>
    <w:link w:val="55"/>
    <w:qFormat/>
    <w:uiPriority w:val="0"/>
    <w:pPr>
      <w:keepNext/>
      <w:keepLines/>
      <w:jc w:val="left"/>
      <w:outlineLvl w:val="2"/>
    </w:pPr>
    <w:rPr>
      <w:rFonts w:ascii="黑体"/>
      <w:b/>
      <w:sz w:val="30"/>
    </w:rPr>
  </w:style>
  <w:style w:type="paragraph" w:styleId="5">
    <w:name w:val="heading 4"/>
    <w:basedOn w:val="1"/>
    <w:next w:val="1"/>
    <w:link w:val="56"/>
    <w:qFormat/>
    <w:uiPriority w:val="0"/>
    <w:pPr>
      <w:keepNext/>
      <w:keepLines/>
      <w:spacing w:before="280" w:after="240"/>
      <w:jc w:val="center"/>
      <w:outlineLvl w:val="3"/>
    </w:pPr>
    <w:rPr>
      <w:rFonts w:ascii="黑体" w:hAnsi="Arial" w:eastAsia="黑体"/>
      <w:sz w:val="30"/>
    </w:rPr>
  </w:style>
  <w:style w:type="paragraph" w:styleId="6">
    <w:name w:val="heading 5"/>
    <w:basedOn w:val="1"/>
    <w:next w:val="1"/>
    <w:link w:val="50"/>
    <w:qFormat/>
    <w:uiPriority w:val="0"/>
    <w:pPr>
      <w:keepNext/>
      <w:keepLines/>
      <w:spacing w:before="100" w:after="100"/>
      <w:jc w:val="left"/>
      <w:outlineLvl w:val="4"/>
    </w:pPr>
    <w:rPr>
      <w:rFonts w:ascii="黑体" w:eastAsia="黑体"/>
    </w:rPr>
  </w:style>
  <w:style w:type="paragraph" w:styleId="7">
    <w:name w:val="heading 6"/>
    <w:basedOn w:val="1"/>
    <w:next w:val="1"/>
    <w:link w:val="99"/>
    <w:qFormat/>
    <w:uiPriority w:val="0"/>
    <w:pPr>
      <w:keepNext/>
      <w:keepLines/>
      <w:spacing w:before="20" w:after="20" w:line="300" w:lineRule="auto"/>
      <w:jc w:val="center"/>
      <w:outlineLvl w:val="5"/>
    </w:pPr>
    <w:rPr>
      <w:rFonts w:ascii="黑体" w:hAnsi="黑体" w:eastAsia="黑体"/>
      <w:sz w:val="21"/>
    </w:rPr>
  </w:style>
  <w:style w:type="paragraph" w:styleId="8">
    <w:name w:val="heading 7"/>
    <w:next w:val="1"/>
    <w:link w:val="52"/>
    <w:qFormat/>
    <w:uiPriority w:val="0"/>
    <w:pPr>
      <w:keepNext/>
      <w:keepLines/>
      <w:spacing w:before="40" w:after="40" w:line="288" w:lineRule="auto"/>
      <w:outlineLvl w:val="6"/>
    </w:pPr>
    <w:rPr>
      <w:rFonts w:ascii="黑体" w:hAnsi="Times New Roman" w:eastAsia="黑体" w:cs="Times New Roman"/>
      <w:lang w:val="en-US" w:eastAsia="zh-CN" w:bidi="ar-SA"/>
    </w:rPr>
  </w:style>
  <w:style w:type="paragraph" w:styleId="9">
    <w:name w:val="heading 8"/>
    <w:basedOn w:val="1"/>
    <w:next w:val="1"/>
    <w:link w:val="53"/>
    <w:qFormat/>
    <w:uiPriority w:val="0"/>
    <w:pPr>
      <w:keepNext/>
      <w:widowControl/>
      <w:spacing w:line="240" w:lineRule="auto"/>
      <w:jc w:val="center"/>
      <w:outlineLvl w:val="7"/>
    </w:pPr>
    <w:rPr>
      <w:rFonts w:hAnsi="宋体"/>
      <w:i/>
      <w:iCs/>
      <w:spacing w:val="-6"/>
      <w:sz w:val="18"/>
      <w:szCs w:val="18"/>
    </w:rPr>
  </w:style>
  <w:style w:type="paragraph" w:styleId="10">
    <w:name w:val="heading 9"/>
    <w:basedOn w:val="1"/>
    <w:next w:val="1"/>
    <w:link w:val="54"/>
    <w:qFormat/>
    <w:uiPriority w:val="0"/>
    <w:pPr>
      <w:keepNext/>
      <w:widowControl/>
      <w:spacing w:line="240" w:lineRule="auto"/>
      <w:jc w:val="center"/>
      <w:outlineLvl w:val="8"/>
    </w:pPr>
    <w:rPr>
      <w:rFonts w:hAnsi="宋体"/>
      <w:i/>
      <w:iCs/>
      <w:color w:val="000000"/>
      <w:spacing w:val="-20"/>
      <w:sz w:val="18"/>
      <w:szCs w:val="18"/>
    </w:rPr>
  </w:style>
  <w:style w:type="character" w:default="1" w:styleId="38">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Normal Indent"/>
    <w:basedOn w:val="1"/>
    <w:qFormat/>
    <w:uiPriority w:val="0"/>
    <w:pPr>
      <w:spacing w:line="240" w:lineRule="auto"/>
      <w:ind w:firstLine="200" w:firstLineChars="200"/>
    </w:pPr>
    <w:rPr>
      <w:rFonts w:ascii="仿宋_GB2312" w:hAnsi="华文仿宋" w:eastAsia="仿宋_GB2312"/>
      <w:spacing w:val="0"/>
    </w:rPr>
  </w:style>
  <w:style w:type="paragraph" w:styleId="13">
    <w:name w:val="caption"/>
    <w:basedOn w:val="1"/>
    <w:next w:val="1"/>
    <w:qFormat/>
    <w:uiPriority w:val="0"/>
    <w:pPr>
      <w:spacing w:beforeLines="50" w:afterLines="50"/>
      <w:ind w:right="1361" w:firstLine="250" w:firstLineChars="250"/>
      <w:textAlignment w:val="baseline"/>
    </w:pPr>
    <w:rPr>
      <w:rFonts w:ascii="Times New Roman" w:hAnsi="宋体" w:eastAsia="黑体"/>
      <w:snapToGrid/>
      <w:spacing w:val="0"/>
      <w:kern w:val="2"/>
      <w:szCs w:val="21"/>
    </w:rPr>
  </w:style>
  <w:style w:type="paragraph" w:styleId="14">
    <w:name w:val="annotation text"/>
    <w:basedOn w:val="1"/>
    <w:link w:val="111"/>
    <w:semiHidden/>
    <w:unhideWhenUsed/>
    <w:qFormat/>
    <w:uiPriority w:val="99"/>
    <w:pPr>
      <w:jc w:val="left"/>
    </w:pPr>
  </w:style>
  <w:style w:type="paragraph" w:styleId="15">
    <w:name w:val="Body Text"/>
    <w:basedOn w:val="1"/>
    <w:link w:val="71"/>
    <w:qFormat/>
    <w:uiPriority w:val="0"/>
    <w:rPr>
      <w:sz w:val="18"/>
    </w:rPr>
  </w:style>
  <w:style w:type="paragraph" w:styleId="16">
    <w:name w:val="Body Text Indent"/>
    <w:basedOn w:val="1"/>
    <w:link w:val="68"/>
    <w:qFormat/>
    <w:uiPriority w:val="0"/>
    <w:pPr>
      <w:ind w:firstLine="496" w:firstLineChars="200"/>
    </w:pPr>
    <w:rPr>
      <w:rFonts w:eastAsia="宋体"/>
      <w:sz w:val="24"/>
    </w:rPr>
  </w:style>
  <w:style w:type="paragraph" w:styleId="17">
    <w:name w:val="List 2"/>
    <w:basedOn w:val="1"/>
    <w:qFormat/>
    <w:uiPriority w:val="0"/>
    <w:pPr>
      <w:ind w:left="100" w:leftChars="200" w:hanging="200" w:hangingChars="200"/>
    </w:pPr>
  </w:style>
  <w:style w:type="paragraph" w:styleId="18">
    <w:name w:val="Plain Text"/>
    <w:basedOn w:val="1"/>
    <w:link w:val="67"/>
    <w:qFormat/>
    <w:uiPriority w:val="0"/>
    <w:rPr>
      <w:rFonts w:hAnsi="Courier New" w:eastAsia="宋体" w:cs="Courier New"/>
      <w:kern w:val="2"/>
      <w:sz w:val="21"/>
      <w:szCs w:val="21"/>
    </w:rPr>
  </w:style>
  <w:style w:type="paragraph" w:styleId="19">
    <w:name w:val="Date"/>
    <w:basedOn w:val="1"/>
    <w:next w:val="1"/>
    <w:link w:val="70"/>
    <w:qFormat/>
    <w:uiPriority w:val="0"/>
    <w:pPr>
      <w:spacing w:line="288" w:lineRule="auto"/>
      <w:jc w:val="left"/>
      <w:textAlignment w:val="baseline"/>
    </w:pPr>
    <w:rPr>
      <w:sz w:val="20"/>
    </w:rPr>
  </w:style>
  <w:style w:type="paragraph" w:styleId="20">
    <w:name w:val="Body Text Indent 2"/>
    <w:basedOn w:val="1"/>
    <w:link w:val="69"/>
    <w:qFormat/>
    <w:uiPriority w:val="0"/>
    <w:pPr>
      <w:widowControl/>
      <w:spacing w:line="240" w:lineRule="auto"/>
      <w:ind w:firstLine="376" w:firstLineChars="200"/>
      <w:jc w:val="left"/>
    </w:pPr>
    <w:rPr>
      <w:rFonts w:hAnsi="宋体"/>
      <w:sz w:val="18"/>
      <w:szCs w:val="18"/>
    </w:rPr>
  </w:style>
  <w:style w:type="paragraph" w:styleId="21">
    <w:name w:val="Balloon Text"/>
    <w:basedOn w:val="1"/>
    <w:link w:val="113"/>
    <w:semiHidden/>
    <w:unhideWhenUsed/>
    <w:qFormat/>
    <w:uiPriority w:val="99"/>
    <w:pPr>
      <w:spacing w:line="240" w:lineRule="auto"/>
    </w:pPr>
    <w:rPr>
      <w:sz w:val="18"/>
      <w:szCs w:val="18"/>
    </w:rPr>
  </w:style>
  <w:style w:type="paragraph" w:styleId="22">
    <w:name w:val="footer"/>
    <w:basedOn w:val="1"/>
    <w:link w:val="45"/>
    <w:unhideWhenUsed/>
    <w:qFormat/>
    <w:uiPriority w:val="0"/>
    <w:pPr>
      <w:tabs>
        <w:tab w:val="center" w:pos="4153"/>
        <w:tab w:val="right" w:pos="8306"/>
      </w:tabs>
      <w:jc w:val="left"/>
    </w:pPr>
    <w:rPr>
      <w:sz w:val="18"/>
      <w:szCs w:val="18"/>
    </w:rPr>
  </w:style>
  <w:style w:type="paragraph" w:styleId="23">
    <w:name w:val="header"/>
    <w:basedOn w:val="1"/>
    <w:link w:val="44"/>
    <w:unhideWhenUsed/>
    <w:qFormat/>
    <w:uiPriority w:val="0"/>
    <w:pPr>
      <w:pBdr>
        <w:bottom w:val="single" w:color="auto" w:sz="6" w:space="1"/>
      </w:pBdr>
      <w:tabs>
        <w:tab w:val="center" w:pos="4153"/>
        <w:tab w:val="right" w:pos="8306"/>
      </w:tabs>
      <w:jc w:val="center"/>
    </w:pPr>
    <w:rPr>
      <w:sz w:val="18"/>
      <w:szCs w:val="18"/>
    </w:rPr>
  </w:style>
  <w:style w:type="paragraph" w:styleId="24">
    <w:name w:val="toc 1"/>
    <w:basedOn w:val="1"/>
    <w:next w:val="1"/>
    <w:unhideWhenUsed/>
    <w:qFormat/>
    <w:uiPriority w:val="39"/>
  </w:style>
  <w:style w:type="paragraph" w:styleId="25">
    <w:name w:val="List"/>
    <w:basedOn w:val="1"/>
    <w:uiPriority w:val="0"/>
    <w:pPr>
      <w:adjustRightInd/>
      <w:snapToGrid/>
      <w:spacing w:line="240" w:lineRule="auto"/>
      <w:ind w:left="200" w:hanging="200" w:hangingChars="200"/>
    </w:pPr>
    <w:rPr>
      <w:rFonts w:ascii="Times New Roman"/>
      <w:snapToGrid/>
      <w:spacing w:val="0"/>
      <w:kern w:val="2"/>
      <w:sz w:val="21"/>
      <w:szCs w:val="20"/>
    </w:rPr>
  </w:style>
  <w:style w:type="paragraph" w:styleId="26">
    <w:name w:val="Body Text Indent 3"/>
    <w:basedOn w:val="1"/>
    <w:link w:val="72"/>
    <w:qFormat/>
    <w:uiPriority w:val="0"/>
    <w:pPr>
      <w:ind w:firstLine="496" w:firstLineChars="200"/>
    </w:pPr>
    <w:rPr>
      <w:rFonts w:eastAsia="宋体"/>
      <w:color w:val="000000"/>
      <w:sz w:val="24"/>
    </w:rPr>
  </w:style>
  <w:style w:type="paragraph" w:styleId="27">
    <w:name w:val="toc 2"/>
    <w:basedOn w:val="1"/>
    <w:next w:val="1"/>
    <w:unhideWhenUsed/>
    <w:qFormat/>
    <w:uiPriority w:val="39"/>
    <w:pPr>
      <w:ind w:left="420" w:leftChars="200"/>
    </w:pPr>
  </w:style>
  <w:style w:type="paragraph" w:styleId="28">
    <w:name w:val="Body Text 2"/>
    <w:basedOn w:val="1"/>
    <w:link w:val="73"/>
    <w:qFormat/>
    <w:uiPriority w:val="0"/>
    <w:pPr>
      <w:spacing w:after="120" w:line="480" w:lineRule="auto"/>
    </w:pPr>
    <w:rPr>
      <w:rFonts w:eastAsia="宋体"/>
      <w:kern w:val="2"/>
      <w:sz w:val="21"/>
    </w:rPr>
  </w:style>
  <w:style w:type="paragraph" w:styleId="29">
    <w:name w:val="List 4"/>
    <w:basedOn w:val="1"/>
    <w:qFormat/>
    <w:uiPriority w:val="0"/>
    <w:pPr>
      <w:adjustRightInd/>
      <w:snapToGrid/>
      <w:spacing w:line="240" w:lineRule="auto"/>
      <w:ind w:left="100" w:leftChars="600" w:hanging="200" w:hangingChars="200"/>
    </w:pPr>
    <w:rPr>
      <w:rFonts w:ascii="Times New Roman"/>
      <w:snapToGrid/>
      <w:spacing w:val="0"/>
      <w:kern w:val="2"/>
      <w:sz w:val="21"/>
      <w:szCs w:val="20"/>
    </w:rPr>
  </w:style>
  <w:style w:type="paragraph" w:styleId="30">
    <w:name w:val="Normal (Web)"/>
    <w:basedOn w:val="1"/>
    <w:unhideWhenUsed/>
    <w:qFormat/>
    <w:uiPriority w:val="0"/>
    <w:pPr>
      <w:widowControl/>
      <w:adjustRightInd/>
      <w:snapToGrid/>
      <w:spacing w:before="100" w:beforeAutospacing="1" w:after="100" w:afterAutospacing="1" w:line="240" w:lineRule="auto"/>
      <w:jc w:val="left"/>
    </w:pPr>
    <w:rPr>
      <w:rFonts w:hAnsi="宋体" w:cs="宋体"/>
      <w:snapToGrid/>
      <w:spacing w:val="0"/>
    </w:rPr>
  </w:style>
  <w:style w:type="paragraph" w:styleId="31">
    <w:name w:val="Title"/>
    <w:basedOn w:val="1"/>
    <w:link w:val="74"/>
    <w:qFormat/>
    <w:uiPriority w:val="0"/>
    <w:pPr>
      <w:autoSpaceDE w:val="0"/>
      <w:autoSpaceDN w:val="0"/>
      <w:spacing w:before="240" w:after="60" w:line="400" w:lineRule="exact"/>
      <w:jc w:val="center"/>
      <w:outlineLvl w:val="0"/>
    </w:pPr>
    <w:rPr>
      <w:rFonts w:ascii="Arial" w:hAnsi="Arial"/>
      <w:b/>
      <w:color w:val="000000"/>
      <w:sz w:val="32"/>
    </w:rPr>
  </w:style>
  <w:style w:type="paragraph" w:styleId="32">
    <w:name w:val="annotation subject"/>
    <w:basedOn w:val="14"/>
    <w:next w:val="14"/>
    <w:link w:val="112"/>
    <w:semiHidden/>
    <w:unhideWhenUsed/>
    <w:qFormat/>
    <w:uiPriority w:val="99"/>
    <w:rPr>
      <w:b/>
      <w:bCs/>
    </w:rPr>
  </w:style>
  <w:style w:type="paragraph" w:styleId="33">
    <w:name w:val="Body Text First Indent 2"/>
    <w:basedOn w:val="16"/>
    <w:link w:val="105"/>
    <w:semiHidden/>
    <w:unhideWhenUsed/>
    <w:qFormat/>
    <w:uiPriority w:val="99"/>
    <w:pPr>
      <w:spacing w:after="120"/>
      <w:ind w:left="420" w:leftChars="200" w:firstLine="420"/>
    </w:pPr>
    <w:rPr>
      <w:rFonts w:eastAsia="仿宋"/>
      <w:sz w:val="28"/>
    </w:rPr>
  </w:style>
  <w:style w:type="table" w:styleId="35">
    <w:name w:val="Table Grid"/>
    <w:basedOn w:val="34"/>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6">
    <w:name w:val="Table Theme"/>
    <w:basedOn w:val="34"/>
    <w:qFormat/>
    <w:uiPriority w:val="0"/>
    <w:pPr>
      <w:widowControl w:val="0"/>
      <w:adjustRightInd w:val="0"/>
      <w:snapToGrid w:val="0"/>
      <w:spacing w:line="360" w:lineRule="auto"/>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7">
    <w:name w:val="Medium Grid 1 Accent 5"/>
    <w:basedOn w:val="34"/>
    <w:qFormat/>
    <w:uiPriority w:val="67"/>
    <w:rPr>
      <w:rFonts w:ascii="Times New Roman" w:hAnsi="Times New Roman" w:eastAsia="宋体" w:cs="Times New Roman"/>
    </w:rPr>
    <w:tblPr>
      <w:tblBorders>
        <w:top w:val="single" w:color="84B3DF" w:sz="8" w:space="0"/>
        <w:left w:val="single" w:color="84B3DF" w:sz="8" w:space="0"/>
        <w:bottom w:val="single" w:color="84B3DF" w:sz="8" w:space="0"/>
        <w:right w:val="single" w:color="84B3DF" w:sz="8" w:space="0"/>
        <w:insideH w:val="single" w:color="84B3DF" w:sz="8" w:space="0"/>
        <w:insideV w:val="single" w:color="84B3DF" w:sz="8" w:space="0"/>
      </w:tblBorders>
    </w:tblPr>
    <w:tcPr>
      <w:shd w:val="clear" w:color="auto" w:fill="D6E6F4"/>
    </w:tcPr>
    <w:tblStylePr w:type="firstRow">
      <w:rPr>
        <w:b/>
        <w:bCs/>
      </w:rPr>
    </w:tblStylePr>
    <w:tblStylePr w:type="lastRow">
      <w:rPr>
        <w:b/>
        <w:bCs/>
      </w:rPr>
      <w:tblPr/>
      <w:tcPr>
        <w:tcBorders>
          <w:top w:val="single" w:color="84B3DF" w:sz="18" w:space="0"/>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character" w:styleId="39">
    <w:name w:val="Strong"/>
    <w:qFormat/>
    <w:uiPriority w:val="22"/>
    <w:rPr>
      <w:b/>
      <w:bCs/>
    </w:rPr>
  </w:style>
  <w:style w:type="character" w:styleId="40">
    <w:name w:val="page number"/>
    <w:basedOn w:val="38"/>
    <w:uiPriority w:val="0"/>
  </w:style>
  <w:style w:type="character" w:styleId="41">
    <w:name w:val="FollowedHyperlink"/>
    <w:qFormat/>
    <w:uiPriority w:val="0"/>
    <w:rPr>
      <w:color w:val="800080"/>
      <w:u w:val="single"/>
    </w:rPr>
  </w:style>
  <w:style w:type="character" w:styleId="42">
    <w:name w:val="Hyperlink"/>
    <w:qFormat/>
    <w:uiPriority w:val="99"/>
    <w:rPr>
      <w:color w:val="0000FF"/>
      <w:u w:val="single"/>
    </w:rPr>
  </w:style>
  <w:style w:type="character" w:styleId="43">
    <w:name w:val="annotation reference"/>
    <w:basedOn w:val="38"/>
    <w:semiHidden/>
    <w:unhideWhenUsed/>
    <w:qFormat/>
    <w:uiPriority w:val="99"/>
    <w:rPr>
      <w:sz w:val="21"/>
      <w:szCs w:val="21"/>
    </w:rPr>
  </w:style>
  <w:style w:type="character" w:customStyle="1" w:styleId="44">
    <w:name w:val="页眉 字符"/>
    <w:basedOn w:val="38"/>
    <w:link w:val="23"/>
    <w:qFormat/>
    <w:uiPriority w:val="99"/>
    <w:rPr>
      <w:sz w:val="18"/>
      <w:szCs w:val="18"/>
    </w:rPr>
  </w:style>
  <w:style w:type="character" w:customStyle="1" w:styleId="45">
    <w:name w:val="页脚 字符"/>
    <w:basedOn w:val="38"/>
    <w:link w:val="22"/>
    <w:qFormat/>
    <w:uiPriority w:val="99"/>
    <w:rPr>
      <w:sz w:val="18"/>
      <w:szCs w:val="18"/>
    </w:rPr>
  </w:style>
  <w:style w:type="character" w:customStyle="1" w:styleId="46">
    <w:name w:val="标题 1 字符"/>
    <w:basedOn w:val="38"/>
    <w:qFormat/>
    <w:uiPriority w:val="9"/>
    <w:rPr>
      <w:rFonts w:ascii="宋体" w:hAnsi="Times New Roman" w:eastAsia="仿宋" w:cs="Times New Roman"/>
      <w:b/>
      <w:bCs/>
      <w:snapToGrid w:val="0"/>
      <w:spacing w:val="4"/>
      <w:kern w:val="44"/>
      <w:sz w:val="44"/>
      <w:szCs w:val="44"/>
    </w:rPr>
  </w:style>
  <w:style w:type="character" w:customStyle="1" w:styleId="47">
    <w:name w:val="标题 2 字符"/>
    <w:basedOn w:val="38"/>
    <w:semiHidden/>
    <w:qFormat/>
    <w:uiPriority w:val="9"/>
    <w:rPr>
      <w:rFonts w:asciiTheme="majorHAnsi" w:hAnsiTheme="majorHAnsi" w:eastAsiaTheme="majorEastAsia" w:cstheme="majorBidi"/>
      <w:b/>
      <w:bCs/>
      <w:snapToGrid w:val="0"/>
      <w:spacing w:val="4"/>
      <w:kern w:val="0"/>
      <w:sz w:val="32"/>
      <w:szCs w:val="32"/>
    </w:rPr>
  </w:style>
  <w:style w:type="character" w:customStyle="1" w:styleId="48">
    <w:name w:val="标题 3 字符"/>
    <w:basedOn w:val="38"/>
    <w:qFormat/>
    <w:uiPriority w:val="9"/>
    <w:rPr>
      <w:rFonts w:ascii="宋体" w:hAnsi="Times New Roman" w:eastAsia="仿宋" w:cs="Times New Roman"/>
      <w:b/>
      <w:bCs/>
      <w:snapToGrid w:val="0"/>
      <w:spacing w:val="4"/>
      <w:kern w:val="0"/>
      <w:sz w:val="32"/>
      <w:szCs w:val="32"/>
    </w:rPr>
  </w:style>
  <w:style w:type="character" w:customStyle="1" w:styleId="49">
    <w:name w:val="标题 4 字符"/>
    <w:basedOn w:val="38"/>
    <w:semiHidden/>
    <w:qFormat/>
    <w:uiPriority w:val="9"/>
    <w:rPr>
      <w:rFonts w:asciiTheme="majorHAnsi" w:hAnsiTheme="majorHAnsi" w:eastAsiaTheme="majorEastAsia" w:cstheme="majorBidi"/>
      <w:b/>
      <w:bCs/>
      <w:snapToGrid w:val="0"/>
      <w:spacing w:val="4"/>
      <w:kern w:val="0"/>
      <w:sz w:val="28"/>
      <w:szCs w:val="28"/>
    </w:rPr>
  </w:style>
  <w:style w:type="character" w:customStyle="1" w:styleId="50">
    <w:name w:val="标题 5 字符"/>
    <w:basedOn w:val="38"/>
    <w:link w:val="6"/>
    <w:qFormat/>
    <w:uiPriority w:val="0"/>
    <w:rPr>
      <w:rFonts w:ascii="黑体" w:hAnsi="Times New Roman" w:eastAsia="黑体" w:cs="Times New Roman"/>
      <w:snapToGrid w:val="0"/>
      <w:spacing w:val="4"/>
      <w:kern w:val="0"/>
      <w:sz w:val="28"/>
      <w:szCs w:val="24"/>
    </w:rPr>
  </w:style>
  <w:style w:type="character" w:customStyle="1" w:styleId="51">
    <w:name w:val="标题 6 字符"/>
    <w:basedOn w:val="38"/>
    <w:qFormat/>
    <w:uiPriority w:val="0"/>
    <w:rPr>
      <w:rFonts w:asciiTheme="majorHAnsi" w:hAnsiTheme="majorHAnsi" w:eastAsiaTheme="majorEastAsia" w:cstheme="majorBidi"/>
      <w:b/>
      <w:bCs/>
      <w:snapToGrid w:val="0"/>
      <w:spacing w:val="4"/>
      <w:kern w:val="0"/>
      <w:sz w:val="24"/>
      <w:szCs w:val="24"/>
    </w:rPr>
  </w:style>
  <w:style w:type="character" w:customStyle="1" w:styleId="52">
    <w:name w:val="标题 7 字符"/>
    <w:basedOn w:val="38"/>
    <w:link w:val="8"/>
    <w:uiPriority w:val="0"/>
    <w:rPr>
      <w:rFonts w:ascii="黑体" w:hAnsi="Times New Roman" w:eastAsia="黑体" w:cs="Times New Roman"/>
      <w:kern w:val="0"/>
      <w:sz w:val="20"/>
      <w:szCs w:val="20"/>
    </w:rPr>
  </w:style>
  <w:style w:type="character" w:customStyle="1" w:styleId="53">
    <w:name w:val="标题 8 字符"/>
    <w:basedOn w:val="38"/>
    <w:link w:val="9"/>
    <w:uiPriority w:val="0"/>
    <w:rPr>
      <w:rFonts w:ascii="宋体" w:hAnsi="宋体" w:eastAsia="仿宋" w:cs="Times New Roman"/>
      <w:i/>
      <w:iCs/>
      <w:snapToGrid w:val="0"/>
      <w:spacing w:val="-6"/>
      <w:kern w:val="0"/>
      <w:sz w:val="18"/>
      <w:szCs w:val="18"/>
    </w:rPr>
  </w:style>
  <w:style w:type="character" w:customStyle="1" w:styleId="54">
    <w:name w:val="标题 9 字符"/>
    <w:basedOn w:val="38"/>
    <w:link w:val="10"/>
    <w:qFormat/>
    <w:uiPriority w:val="0"/>
    <w:rPr>
      <w:rFonts w:ascii="宋体" w:hAnsi="宋体" w:eastAsia="仿宋" w:cs="Times New Roman"/>
      <w:i/>
      <w:iCs/>
      <w:snapToGrid w:val="0"/>
      <w:color w:val="000000"/>
      <w:spacing w:val="-20"/>
      <w:kern w:val="0"/>
      <w:sz w:val="18"/>
      <w:szCs w:val="18"/>
    </w:rPr>
  </w:style>
  <w:style w:type="character" w:customStyle="1" w:styleId="55">
    <w:name w:val="标题 3 字符1"/>
    <w:link w:val="4"/>
    <w:qFormat/>
    <w:uiPriority w:val="0"/>
    <w:rPr>
      <w:rFonts w:ascii="黑体" w:hAnsi="Times New Roman" w:eastAsia="仿宋" w:cs="Times New Roman"/>
      <w:b/>
      <w:snapToGrid w:val="0"/>
      <w:spacing w:val="4"/>
      <w:kern w:val="0"/>
      <w:sz w:val="30"/>
      <w:szCs w:val="24"/>
    </w:rPr>
  </w:style>
  <w:style w:type="character" w:customStyle="1" w:styleId="56">
    <w:name w:val="标题 4 字符1"/>
    <w:link w:val="5"/>
    <w:qFormat/>
    <w:uiPriority w:val="0"/>
    <w:rPr>
      <w:rFonts w:ascii="黑体" w:hAnsi="Arial" w:eastAsia="黑体" w:cs="Times New Roman"/>
      <w:snapToGrid w:val="0"/>
      <w:spacing w:val="4"/>
      <w:kern w:val="0"/>
      <w:sz w:val="30"/>
      <w:szCs w:val="24"/>
    </w:rPr>
  </w:style>
  <w:style w:type="character" w:customStyle="1" w:styleId="57">
    <w:name w:val="Char Char1"/>
    <w:qFormat/>
    <w:uiPriority w:val="0"/>
    <w:rPr>
      <w:rFonts w:ascii="宋体" w:hAnsi="Courier New" w:eastAsia="宋体" w:cs="Courier New"/>
      <w:kern w:val="2"/>
      <w:sz w:val="21"/>
      <w:szCs w:val="21"/>
      <w:lang w:val="en-US" w:eastAsia="zh-CN" w:bidi="ar-SA"/>
    </w:rPr>
  </w:style>
  <w:style w:type="character" w:customStyle="1" w:styleId="58">
    <w:name w:val="Char Char"/>
    <w:qFormat/>
    <w:uiPriority w:val="0"/>
    <w:rPr>
      <w:rFonts w:eastAsia="宋体"/>
      <w:kern w:val="2"/>
      <w:sz w:val="21"/>
      <w:szCs w:val="24"/>
      <w:lang w:val="en-US" w:eastAsia="zh-CN" w:bidi="ar-SA"/>
    </w:rPr>
  </w:style>
  <w:style w:type="character" w:customStyle="1" w:styleId="59">
    <w:name w:val="Char Char3"/>
    <w:qFormat/>
    <w:uiPriority w:val="0"/>
    <w:rPr>
      <w:rFonts w:ascii="宋体" w:eastAsia="宋体"/>
      <w:spacing w:val="4"/>
      <w:sz w:val="24"/>
      <w:lang w:val="en-US" w:eastAsia="zh-CN" w:bidi="ar-SA"/>
    </w:rPr>
  </w:style>
  <w:style w:type="character" w:customStyle="1" w:styleId="60">
    <w:name w:val="Char Char2"/>
    <w:qFormat/>
    <w:uiPriority w:val="0"/>
    <w:rPr>
      <w:rFonts w:ascii="宋体" w:eastAsia="宋体"/>
      <w:color w:val="000000"/>
      <w:spacing w:val="4"/>
      <w:sz w:val="24"/>
      <w:lang w:val="en-US" w:eastAsia="zh-CN" w:bidi="ar-SA"/>
    </w:rPr>
  </w:style>
  <w:style w:type="character" w:customStyle="1" w:styleId="61">
    <w:name w:val="正文1 Char Char"/>
    <w:link w:val="62"/>
    <w:qFormat/>
    <w:uiPriority w:val="0"/>
    <w:rPr>
      <w:rFonts w:ascii="仿宋_GB2312" w:eastAsia="仿宋_GB2312"/>
      <w:snapToGrid w:val="0"/>
      <w:spacing w:val="4"/>
      <w:sz w:val="28"/>
      <w:szCs w:val="28"/>
    </w:rPr>
  </w:style>
  <w:style w:type="paragraph" w:customStyle="1" w:styleId="62">
    <w:name w:val="正文1"/>
    <w:basedOn w:val="1"/>
    <w:link w:val="61"/>
    <w:qFormat/>
    <w:uiPriority w:val="0"/>
    <w:pPr>
      <w:ind w:firstLine="200" w:firstLineChars="200"/>
    </w:pPr>
    <w:rPr>
      <w:rFonts w:ascii="仿宋_GB2312" w:eastAsia="仿宋_GB2312" w:hAnsiTheme="minorHAnsi" w:cstheme="minorBidi"/>
      <w:kern w:val="2"/>
      <w:szCs w:val="28"/>
    </w:rPr>
  </w:style>
  <w:style w:type="character" w:customStyle="1" w:styleId="63">
    <w:name w:val="章 Char1"/>
    <w:link w:val="64"/>
    <w:qFormat/>
    <w:uiPriority w:val="2"/>
    <w:rPr>
      <w:rFonts w:hAnsi="黑体" w:eastAsia="黑体"/>
      <w:sz w:val="32"/>
    </w:rPr>
  </w:style>
  <w:style w:type="paragraph" w:customStyle="1" w:styleId="64">
    <w:name w:val="章"/>
    <w:basedOn w:val="4"/>
    <w:link w:val="63"/>
    <w:qFormat/>
    <w:uiPriority w:val="2"/>
    <w:pPr>
      <w:pageBreakBefore/>
      <w:spacing w:before="440" w:after="400" w:line="288" w:lineRule="auto"/>
      <w:jc w:val="center"/>
      <w:textAlignment w:val="baseline"/>
    </w:pPr>
    <w:rPr>
      <w:rFonts w:hAnsi="黑体" w:eastAsia="黑体" w:asciiTheme="minorHAnsi" w:cstheme="minorBidi"/>
      <w:b w:val="0"/>
      <w:snapToGrid/>
      <w:spacing w:val="0"/>
      <w:kern w:val="2"/>
      <w:sz w:val="32"/>
      <w:szCs w:val="22"/>
    </w:rPr>
  </w:style>
  <w:style w:type="paragraph" w:customStyle="1" w:styleId="65">
    <w:name w:val="_Style 37"/>
    <w:basedOn w:val="1"/>
    <w:next w:val="66"/>
    <w:qFormat/>
    <w:uiPriority w:val="0"/>
    <w:pPr>
      <w:adjustRightInd/>
      <w:snapToGrid/>
      <w:ind w:firstLine="420" w:firstLineChars="200"/>
    </w:pPr>
    <w:rPr>
      <w:rFonts w:ascii="Calibri" w:hAnsi="Calibri"/>
      <w:snapToGrid/>
      <w:spacing w:val="0"/>
      <w:kern w:val="2"/>
      <w:sz w:val="21"/>
      <w:szCs w:val="22"/>
    </w:rPr>
  </w:style>
  <w:style w:type="paragraph" w:styleId="66">
    <w:name w:val="List Paragraph"/>
    <w:basedOn w:val="1"/>
    <w:qFormat/>
    <w:uiPriority w:val="34"/>
    <w:pPr>
      <w:ind w:firstLine="420" w:firstLineChars="200"/>
    </w:pPr>
  </w:style>
  <w:style w:type="character" w:customStyle="1" w:styleId="67">
    <w:name w:val="纯文本 字符"/>
    <w:basedOn w:val="38"/>
    <w:link w:val="18"/>
    <w:uiPriority w:val="0"/>
    <w:rPr>
      <w:rFonts w:ascii="宋体" w:hAnsi="Courier New" w:eastAsia="宋体" w:cs="Courier New"/>
      <w:snapToGrid w:val="0"/>
      <w:spacing w:val="4"/>
      <w:szCs w:val="21"/>
    </w:rPr>
  </w:style>
  <w:style w:type="character" w:customStyle="1" w:styleId="68">
    <w:name w:val="正文文本缩进 字符"/>
    <w:basedOn w:val="38"/>
    <w:link w:val="16"/>
    <w:qFormat/>
    <w:uiPriority w:val="0"/>
    <w:rPr>
      <w:rFonts w:ascii="宋体" w:hAnsi="Times New Roman" w:eastAsia="宋体" w:cs="Times New Roman"/>
      <w:snapToGrid w:val="0"/>
      <w:spacing w:val="4"/>
      <w:kern w:val="0"/>
      <w:sz w:val="24"/>
      <w:szCs w:val="24"/>
    </w:rPr>
  </w:style>
  <w:style w:type="character" w:customStyle="1" w:styleId="69">
    <w:name w:val="正文文本缩进 2 字符"/>
    <w:basedOn w:val="38"/>
    <w:link w:val="20"/>
    <w:qFormat/>
    <w:uiPriority w:val="0"/>
    <w:rPr>
      <w:rFonts w:ascii="宋体" w:hAnsi="宋体" w:eastAsia="仿宋" w:cs="Times New Roman"/>
      <w:snapToGrid w:val="0"/>
      <w:spacing w:val="4"/>
      <w:kern w:val="0"/>
      <w:sz w:val="18"/>
      <w:szCs w:val="18"/>
    </w:rPr>
  </w:style>
  <w:style w:type="character" w:customStyle="1" w:styleId="70">
    <w:name w:val="日期 字符"/>
    <w:basedOn w:val="38"/>
    <w:link w:val="19"/>
    <w:qFormat/>
    <w:uiPriority w:val="0"/>
    <w:rPr>
      <w:rFonts w:ascii="宋体" w:hAnsi="Times New Roman" w:eastAsia="仿宋" w:cs="Times New Roman"/>
      <w:snapToGrid w:val="0"/>
      <w:spacing w:val="4"/>
      <w:kern w:val="0"/>
      <w:sz w:val="20"/>
      <w:szCs w:val="24"/>
    </w:rPr>
  </w:style>
  <w:style w:type="character" w:customStyle="1" w:styleId="71">
    <w:name w:val="正文文本 字符"/>
    <w:basedOn w:val="38"/>
    <w:link w:val="15"/>
    <w:uiPriority w:val="0"/>
    <w:rPr>
      <w:rFonts w:ascii="宋体" w:hAnsi="Times New Roman" w:eastAsia="仿宋" w:cs="Times New Roman"/>
      <w:snapToGrid w:val="0"/>
      <w:spacing w:val="4"/>
      <w:kern w:val="0"/>
      <w:sz w:val="18"/>
      <w:szCs w:val="24"/>
    </w:rPr>
  </w:style>
  <w:style w:type="character" w:customStyle="1" w:styleId="72">
    <w:name w:val="正文文本缩进 3 字符"/>
    <w:basedOn w:val="38"/>
    <w:link w:val="26"/>
    <w:qFormat/>
    <w:uiPriority w:val="0"/>
    <w:rPr>
      <w:rFonts w:ascii="宋体" w:hAnsi="Times New Roman" w:eastAsia="宋体" w:cs="Times New Roman"/>
      <w:snapToGrid w:val="0"/>
      <w:color w:val="000000"/>
      <w:spacing w:val="4"/>
      <w:kern w:val="0"/>
      <w:sz w:val="24"/>
      <w:szCs w:val="24"/>
    </w:rPr>
  </w:style>
  <w:style w:type="character" w:customStyle="1" w:styleId="73">
    <w:name w:val="正文文本 2 字符"/>
    <w:basedOn w:val="38"/>
    <w:link w:val="28"/>
    <w:qFormat/>
    <w:uiPriority w:val="0"/>
    <w:rPr>
      <w:rFonts w:ascii="宋体" w:hAnsi="Times New Roman" w:eastAsia="宋体" w:cs="Times New Roman"/>
      <w:snapToGrid w:val="0"/>
      <w:spacing w:val="4"/>
      <w:szCs w:val="24"/>
    </w:rPr>
  </w:style>
  <w:style w:type="character" w:customStyle="1" w:styleId="74">
    <w:name w:val="标题 字符"/>
    <w:basedOn w:val="38"/>
    <w:link w:val="31"/>
    <w:qFormat/>
    <w:uiPriority w:val="0"/>
    <w:rPr>
      <w:rFonts w:ascii="Arial" w:hAnsi="Arial" w:eastAsia="仿宋" w:cs="Times New Roman"/>
      <w:b/>
      <w:snapToGrid w:val="0"/>
      <w:color w:val="000000"/>
      <w:spacing w:val="4"/>
      <w:kern w:val="0"/>
      <w:sz w:val="32"/>
      <w:szCs w:val="24"/>
    </w:rPr>
  </w:style>
  <w:style w:type="paragraph" w:customStyle="1" w:styleId="75">
    <w:name w:val="正文文字缩进 Char Char"/>
    <w:basedOn w:val="1"/>
    <w:next w:val="15"/>
    <w:qFormat/>
    <w:uiPriority w:val="0"/>
    <w:pPr>
      <w:adjustRightInd/>
      <w:snapToGrid/>
      <w:spacing w:after="120" w:line="240" w:lineRule="auto"/>
    </w:pPr>
    <w:rPr>
      <w:rFonts w:ascii="Times New Roman"/>
      <w:snapToGrid/>
      <w:spacing w:val="0"/>
      <w:kern w:val="2"/>
      <w:sz w:val="21"/>
    </w:rPr>
  </w:style>
  <w:style w:type="paragraph" w:customStyle="1" w:styleId="76">
    <w:name w:val="铝土矿正文"/>
    <w:basedOn w:val="1"/>
    <w:qFormat/>
    <w:uiPriority w:val="0"/>
    <w:pPr>
      <w:spacing w:line="560" w:lineRule="atLeast"/>
      <w:ind w:firstLine="560" w:firstLineChars="200"/>
    </w:pPr>
    <w:rPr>
      <w:rFonts w:eastAsia="仿宋_GB2312"/>
      <w:color w:val="FF0000"/>
      <w:szCs w:val="28"/>
    </w:rPr>
  </w:style>
  <w:style w:type="paragraph" w:customStyle="1" w:styleId="77">
    <w:name w:val="Char Char5"/>
    <w:basedOn w:val="1"/>
    <w:uiPriority w:val="0"/>
    <w:pPr>
      <w:adjustRightInd/>
      <w:snapToGrid/>
      <w:spacing w:line="240" w:lineRule="auto"/>
    </w:pPr>
    <w:rPr>
      <w:rFonts w:ascii="Times New Roman"/>
      <w:snapToGrid/>
      <w:spacing w:val="0"/>
      <w:kern w:val="2"/>
    </w:rPr>
  </w:style>
  <w:style w:type="paragraph" w:customStyle="1" w:styleId="78">
    <w:name w:val="一."/>
    <w:basedOn w:val="1"/>
    <w:qFormat/>
    <w:uiPriority w:val="0"/>
    <w:pPr>
      <w:spacing w:before="160" w:after="160" w:line="288" w:lineRule="auto"/>
      <w:jc w:val="center"/>
      <w:textAlignment w:val="baseline"/>
    </w:pPr>
    <w:rPr>
      <w:rFonts w:eastAsia="黑体"/>
      <w:sz w:val="26"/>
    </w:rPr>
  </w:style>
  <w:style w:type="paragraph" w:customStyle="1" w:styleId="79">
    <w:name w:val="1.1.1.1"/>
    <w:basedOn w:val="1"/>
    <w:uiPriority w:val="0"/>
    <w:pPr>
      <w:spacing w:before="60" w:after="60"/>
      <w:ind w:firstLine="200" w:firstLineChars="200"/>
    </w:pPr>
    <w:rPr>
      <w:rFonts w:ascii="黑体" w:eastAsia="黑体"/>
    </w:rPr>
  </w:style>
  <w:style w:type="paragraph" w:customStyle="1" w:styleId="80">
    <w:name w:val="样式2"/>
    <w:basedOn w:val="1"/>
    <w:qFormat/>
    <w:uiPriority w:val="0"/>
    <w:pPr>
      <w:tabs>
        <w:tab w:val="right" w:pos="8505"/>
      </w:tabs>
      <w:spacing w:line="336" w:lineRule="auto"/>
      <w:ind w:left="680" w:right="1361"/>
    </w:pPr>
    <w:rPr>
      <w:sz w:val="18"/>
    </w:rPr>
  </w:style>
  <w:style w:type="paragraph" w:customStyle="1" w:styleId="81">
    <w:name w:val="正"/>
    <w:basedOn w:val="1"/>
    <w:qFormat/>
    <w:uiPriority w:val="0"/>
    <w:pPr>
      <w:tabs>
        <w:tab w:val="left" w:pos="2880"/>
        <w:tab w:val="left" w:pos="9360"/>
        <w:tab w:val="left" w:pos="9540"/>
      </w:tabs>
      <w:spacing w:line="400" w:lineRule="exact"/>
      <w:ind w:right="40" w:firstLine="413"/>
    </w:pPr>
    <w:rPr>
      <w:rFonts w:ascii="楷体_GB2312" w:eastAsia="楷体_GB2312"/>
      <w:color w:val="000000"/>
      <w:sz w:val="30"/>
      <w:szCs w:val="20"/>
    </w:rPr>
  </w:style>
  <w:style w:type="paragraph" w:customStyle="1" w:styleId="82">
    <w:name w:val="节"/>
    <w:basedOn w:val="1"/>
    <w:qFormat/>
    <w:uiPriority w:val="0"/>
    <w:pPr>
      <w:spacing w:before="320" w:after="200" w:line="288" w:lineRule="auto"/>
      <w:jc w:val="center"/>
      <w:textAlignment w:val="baseline"/>
      <w:outlineLvl w:val="3"/>
    </w:pPr>
    <w:rPr>
      <w:rFonts w:hAnsi="宋体" w:eastAsia="宋体"/>
      <w:sz w:val="32"/>
    </w:rPr>
  </w:style>
  <w:style w:type="paragraph" w:customStyle="1" w:styleId="83">
    <w:name w:val="Char Char Char Char"/>
    <w:basedOn w:val="1"/>
    <w:qFormat/>
    <w:uiPriority w:val="0"/>
    <w:pPr>
      <w:adjustRightInd/>
      <w:snapToGrid/>
      <w:spacing w:line="240" w:lineRule="auto"/>
    </w:pPr>
    <w:rPr>
      <w:rFonts w:ascii="Times New Roman"/>
      <w:snapToGrid/>
      <w:spacing w:val="0"/>
      <w:kern w:val="2"/>
      <w:sz w:val="21"/>
    </w:rPr>
  </w:style>
  <w:style w:type="paragraph" w:customStyle="1" w:styleId="84">
    <w:name w:val="图例"/>
    <w:basedOn w:val="1"/>
    <w:next w:val="1"/>
    <w:qFormat/>
    <w:uiPriority w:val="0"/>
    <w:pPr>
      <w:adjustRightInd/>
      <w:snapToGrid/>
      <w:spacing w:line="220" w:lineRule="exact"/>
      <w:jc w:val="center"/>
    </w:pPr>
    <w:rPr>
      <w:rFonts w:ascii="Times New Roman"/>
      <w:snapToGrid/>
      <w:spacing w:val="0"/>
      <w:kern w:val="2"/>
      <w:sz w:val="15"/>
      <w:szCs w:val="20"/>
    </w:rPr>
  </w:style>
  <w:style w:type="paragraph" w:customStyle="1" w:styleId="85">
    <w:name w:val="Char Char Char Char Char Char Char Char Char Char Char Char Char Char Char Char Char Char Char Char Char Char"/>
    <w:basedOn w:val="1"/>
    <w:qFormat/>
    <w:uiPriority w:val="0"/>
    <w:pPr>
      <w:adjustRightInd/>
      <w:snapToGrid/>
      <w:spacing w:line="240" w:lineRule="auto"/>
    </w:pPr>
    <w:rPr>
      <w:rFonts w:ascii="Times New Roman" w:eastAsia="仿宋_GB2312"/>
      <w:snapToGrid/>
      <w:spacing w:val="0"/>
      <w:kern w:val="2"/>
      <w:sz w:val="32"/>
    </w:rPr>
  </w:style>
  <w:style w:type="paragraph" w:customStyle="1" w:styleId="86">
    <w:name w:val="图名"/>
    <w:basedOn w:val="1"/>
    <w:qFormat/>
    <w:uiPriority w:val="0"/>
    <w:pPr>
      <w:spacing w:line="264" w:lineRule="auto"/>
      <w:jc w:val="center"/>
    </w:pPr>
    <w:rPr>
      <w:rFonts w:ascii="黑体" w:eastAsia="黑体"/>
      <w:sz w:val="21"/>
      <w:szCs w:val="21"/>
    </w:rPr>
  </w:style>
  <w:style w:type="paragraph" w:customStyle="1" w:styleId="87">
    <w:name w:val="tm"/>
    <w:basedOn w:val="1"/>
    <w:qFormat/>
    <w:uiPriority w:val="0"/>
    <w:pPr>
      <w:spacing w:line="288" w:lineRule="auto"/>
      <w:jc w:val="center"/>
    </w:pPr>
    <w:rPr>
      <w:rFonts w:ascii="黑体" w:eastAsia="黑体"/>
      <w:sz w:val="21"/>
    </w:rPr>
  </w:style>
  <w:style w:type="paragraph" w:customStyle="1" w:styleId="88">
    <w:name w:val="人"/>
    <w:basedOn w:val="1"/>
    <w:qFormat/>
    <w:uiPriority w:val="0"/>
    <w:pPr>
      <w:adjustRightInd/>
      <w:snapToGrid/>
      <w:spacing w:line="240" w:lineRule="auto"/>
    </w:pPr>
    <w:rPr>
      <w:rFonts w:ascii="Times New Roman"/>
      <w:spacing w:val="0"/>
      <w:kern w:val="2"/>
      <w:sz w:val="21"/>
    </w:rPr>
  </w:style>
  <w:style w:type="paragraph" w:customStyle="1" w:styleId="89">
    <w:name w:val="表首栏"/>
    <w:basedOn w:val="1"/>
    <w:next w:val="1"/>
    <w:qFormat/>
    <w:uiPriority w:val="0"/>
    <w:pPr>
      <w:adjustRightInd/>
      <w:snapToGrid/>
      <w:spacing w:line="220" w:lineRule="exact"/>
      <w:jc w:val="center"/>
    </w:pPr>
    <w:rPr>
      <w:rFonts w:ascii="Times New Roman"/>
      <w:b/>
      <w:bCs/>
      <w:snapToGrid/>
      <w:spacing w:val="0"/>
      <w:kern w:val="2"/>
      <w:sz w:val="15"/>
      <w:szCs w:val="20"/>
    </w:rPr>
  </w:style>
  <w:style w:type="paragraph" w:customStyle="1" w:styleId="90">
    <w:name w:val="样式1"/>
    <w:basedOn w:val="1"/>
    <w:qFormat/>
    <w:uiPriority w:val="0"/>
    <w:pPr>
      <w:tabs>
        <w:tab w:val="right" w:pos="8505"/>
      </w:tabs>
      <w:spacing w:line="336" w:lineRule="auto"/>
      <w:ind w:right="1361"/>
    </w:pPr>
    <w:rPr>
      <w:sz w:val="18"/>
    </w:rPr>
  </w:style>
  <w:style w:type="paragraph" w:customStyle="1" w:styleId="91">
    <w:name w:val="2"/>
    <w:basedOn w:val="1"/>
    <w:qFormat/>
    <w:uiPriority w:val="0"/>
    <w:pPr>
      <w:spacing w:line="288" w:lineRule="auto"/>
      <w:ind w:firstLine="621"/>
      <w:textAlignment w:val="baseline"/>
    </w:pPr>
    <w:rPr>
      <w:rFonts w:ascii="黑体" w:eastAsia="黑体"/>
      <w:sz w:val="24"/>
    </w:rPr>
  </w:style>
  <w:style w:type="paragraph" w:customStyle="1" w:styleId="92">
    <w:name w:val="Char Char4"/>
    <w:basedOn w:val="1"/>
    <w:qFormat/>
    <w:uiPriority w:val="0"/>
    <w:pPr>
      <w:adjustRightInd/>
      <w:ind w:firstLine="200" w:firstLineChars="200"/>
    </w:pPr>
    <w:rPr>
      <w:rFonts w:ascii="Times New Roman" w:eastAsia="仿宋_GB2312"/>
      <w:snapToGrid/>
      <w:spacing w:val="0"/>
      <w:kern w:val="2"/>
    </w:rPr>
  </w:style>
  <w:style w:type="paragraph" w:customStyle="1" w:styleId="93">
    <w:name w:val="(一)"/>
    <w:basedOn w:val="1"/>
    <w:qFormat/>
    <w:uiPriority w:val="0"/>
    <w:pPr>
      <w:spacing w:before="20" w:after="20" w:line="288" w:lineRule="auto"/>
    </w:pPr>
    <w:rPr>
      <w:rFonts w:eastAsia="仿宋_GB2312"/>
      <w:sz w:val="27"/>
    </w:rPr>
  </w:style>
  <w:style w:type="paragraph" w:customStyle="1" w:styleId="94">
    <w:name w:val="样式 列表 2表内容居中表内容 + 左"/>
    <w:basedOn w:val="17"/>
    <w:qFormat/>
    <w:uiPriority w:val="0"/>
    <w:pPr>
      <w:adjustRightInd/>
      <w:snapToGrid/>
      <w:spacing w:line="240" w:lineRule="exact"/>
      <w:ind w:left="0" w:leftChars="0" w:firstLine="0" w:firstLineChars="0"/>
    </w:pPr>
    <w:rPr>
      <w:rFonts w:cs="宋体"/>
      <w:snapToGrid/>
      <w:spacing w:val="0"/>
      <w:kern w:val="2"/>
      <w:sz w:val="15"/>
      <w:szCs w:val="20"/>
    </w:rPr>
  </w:style>
  <w:style w:type="paragraph" w:customStyle="1" w:styleId="95">
    <w:name w:val="reader-word-layer"/>
    <w:basedOn w:val="1"/>
    <w:qFormat/>
    <w:uiPriority w:val="0"/>
    <w:pPr>
      <w:widowControl/>
      <w:adjustRightInd/>
      <w:snapToGrid/>
      <w:spacing w:before="100" w:beforeAutospacing="1" w:after="100" w:afterAutospacing="1" w:line="240" w:lineRule="auto"/>
      <w:jc w:val="left"/>
    </w:pPr>
    <w:rPr>
      <w:rFonts w:hAnsi="宋体" w:cs="宋体"/>
      <w:snapToGrid/>
      <w:spacing w:val="0"/>
    </w:rPr>
  </w:style>
  <w:style w:type="paragraph" w:styleId="96">
    <w:name w:val="No Spacing"/>
    <w:qFormat/>
    <w:uiPriority w:val="0"/>
    <w:pPr>
      <w:widowControl w:val="0"/>
      <w:ind w:right="1361" w:firstLine="250" w:firstLineChars="250"/>
      <w:jc w:val="both"/>
    </w:pPr>
    <w:rPr>
      <w:rFonts w:ascii="Calibri" w:hAnsi="Calibri" w:eastAsia="宋体" w:cs="Times New Roman"/>
      <w:kern w:val="2"/>
      <w:sz w:val="21"/>
      <w:szCs w:val="22"/>
      <w:lang w:val="en-US" w:eastAsia="zh-CN" w:bidi="ar-SA"/>
    </w:rPr>
  </w:style>
  <w:style w:type="paragraph" w:customStyle="1" w:styleId="97">
    <w:name w:val="Char Char Char Char Char Char Char Char Char"/>
    <w:basedOn w:val="1"/>
    <w:qFormat/>
    <w:uiPriority w:val="0"/>
    <w:pPr>
      <w:adjustRightInd/>
      <w:snapToGrid/>
      <w:spacing w:line="240" w:lineRule="auto"/>
    </w:pPr>
    <w:rPr>
      <w:rFonts w:ascii="Times New Roman"/>
      <w:snapToGrid/>
      <w:spacing w:val="0"/>
      <w:kern w:val="2"/>
      <w:sz w:val="21"/>
    </w:rPr>
  </w:style>
  <w:style w:type="paragraph" w:customStyle="1" w:styleId="98">
    <w:name w:val="Char1"/>
    <w:basedOn w:val="1"/>
    <w:qFormat/>
    <w:uiPriority w:val="0"/>
    <w:pPr>
      <w:adjustRightInd/>
      <w:snapToGrid/>
      <w:spacing w:line="240" w:lineRule="auto"/>
    </w:pPr>
    <w:rPr>
      <w:rFonts w:ascii="Times New Roman"/>
      <w:snapToGrid/>
      <w:spacing w:val="0"/>
      <w:kern w:val="2"/>
    </w:rPr>
  </w:style>
  <w:style w:type="character" w:customStyle="1" w:styleId="99">
    <w:name w:val="标题 6 字符1"/>
    <w:link w:val="7"/>
    <w:qFormat/>
    <w:uiPriority w:val="0"/>
    <w:rPr>
      <w:rFonts w:ascii="黑体" w:hAnsi="黑体" w:eastAsia="黑体" w:cs="Times New Roman"/>
      <w:snapToGrid w:val="0"/>
      <w:spacing w:val="4"/>
      <w:kern w:val="0"/>
      <w:szCs w:val="24"/>
    </w:rPr>
  </w:style>
  <w:style w:type="character" w:customStyle="1" w:styleId="100">
    <w:name w:val="标题 2 字符1"/>
    <w:link w:val="3"/>
    <w:qFormat/>
    <w:uiPriority w:val="0"/>
    <w:rPr>
      <w:rFonts w:ascii="Arial" w:hAnsi="Arial" w:eastAsia="仿宋" w:cs="Times New Roman"/>
      <w:b/>
      <w:snapToGrid w:val="0"/>
      <w:spacing w:val="4"/>
      <w:kern w:val="0"/>
      <w:sz w:val="36"/>
      <w:szCs w:val="24"/>
    </w:rPr>
  </w:style>
  <w:style w:type="paragraph" w:customStyle="1" w:styleId="101">
    <w:name w:val="Table Paragraph"/>
    <w:basedOn w:val="1"/>
    <w:qFormat/>
    <w:uiPriority w:val="1"/>
    <w:pPr>
      <w:autoSpaceDE w:val="0"/>
      <w:autoSpaceDN w:val="0"/>
      <w:adjustRightInd/>
      <w:snapToGrid/>
      <w:spacing w:line="240" w:lineRule="auto"/>
      <w:jc w:val="left"/>
    </w:pPr>
    <w:rPr>
      <w:rFonts w:hAnsi="宋体" w:eastAsia="宋体" w:cs="宋体"/>
      <w:snapToGrid/>
      <w:spacing w:val="0"/>
      <w:sz w:val="22"/>
      <w:szCs w:val="22"/>
      <w:lang w:val="zh-CN" w:bidi="zh-CN"/>
    </w:rPr>
  </w:style>
  <w:style w:type="character" w:customStyle="1" w:styleId="102">
    <w:name w:val="标题 1 字符1"/>
    <w:link w:val="2"/>
    <w:qFormat/>
    <w:uiPriority w:val="0"/>
    <w:rPr>
      <w:rFonts w:ascii="宋体" w:hAnsi="Times New Roman" w:eastAsia="仿宋" w:cs="Times New Roman"/>
      <w:b/>
      <w:snapToGrid w:val="0"/>
      <w:kern w:val="44"/>
      <w:sz w:val="44"/>
      <w:szCs w:val="24"/>
    </w:rPr>
  </w:style>
  <w:style w:type="paragraph" w:customStyle="1" w:styleId="103">
    <w:name w:val="TOC 标题1"/>
    <w:basedOn w:val="2"/>
    <w:next w:val="1"/>
    <w:semiHidden/>
    <w:unhideWhenUsed/>
    <w:qFormat/>
    <w:uiPriority w:val="39"/>
    <w:pPr>
      <w:pageBreakBefore w:val="0"/>
      <w:widowControl/>
      <w:adjustRightInd/>
      <w:snapToGrid/>
      <w:spacing w:before="480" w:beforeLines="0" w:after="0" w:afterLines="0" w:line="276" w:lineRule="auto"/>
      <w:jc w:val="left"/>
      <w:outlineLvl w:val="9"/>
    </w:pPr>
    <w:rPr>
      <w:rFonts w:ascii="Cambria" w:hAnsi="Cambria" w:eastAsia="宋体"/>
      <w:bCs/>
      <w:snapToGrid/>
      <w:color w:val="365F91"/>
      <w:kern w:val="0"/>
      <w:sz w:val="28"/>
      <w:szCs w:val="28"/>
    </w:rPr>
  </w:style>
  <w:style w:type="table" w:customStyle="1" w:styleId="104">
    <w:name w:val="网格表 2 - 着色 51"/>
    <w:basedOn w:val="34"/>
    <w:qFormat/>
    <w:uiPriority w:val="47"/>
    <w:rPr>
      <w:rFonts w:ascii="Times New Roman" w:hAnsi="Times New Roman" w:eastAsia="宋体" w:cs="Times New Roman"/>
    </w:rPr>
    <w:tblPr>
      <w:tblBorders>
        <w:top w:val="single" w:color="9CC2E5" w:sz="2" w:space="0"/>
        <w:bottom w:val="single" w:color="9CC2E5" w:sz="2" w:space="0"/>
        <w:insideH w:val="single" w:color="9CC2E5" w:sz="2" w:space="0"/>
        <w:insideV w:val="single" w:color="9CC2E5" w:sz="2" w:space="0"/>
      </w:tblBorders>
    </w:tblPr>
    <w:tblStylePr w:type="firstRow">
      <w:rPr>
        <w:b/>
        <w:bCs/>
      </w:rPr>
      <w:tcPr>
        <w:tcBorders>
          <w:top w:val="nil"/>
          <w:bottom w:val="single" w:color="9CC2E5" w:sz="12" w:space="0"/>
          <w:insideH w:val="nil"/>
          <w:insideV w:val="nil"/>
        </w:tcBorders>
        <w:shd w:val="clear" w:color="auto" w:fill="FFFFFF"/>
      </w:tcPr>
    </w:tblStylePr>
    <w:tblStylePr w:type="lastRow">
      <w:rPr>
        <w:b/>
        <w:bCs/>
      </w:r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character" w:customStyle="1" w:styleId="105">
    <w:name w:val="正文文本首行缩进 2 字符"/>
    <w:basedOn w:val="68"/>
    <w:link w:val="33"/>
    <w:semiHidden/>
    <w:qFormat/>
    <w:uiPriority w:val="99"/>
    <w:rPr>
      <w:rFonts w:ascii="宋体" w:hAnsi="Times New Roman" w:eastAsia="宋体" w:cs="Times New Roman"/>
      <w:snapToGrid w:val="0"/>
      <w:spacing w:val="4"/>
      <w:kern w:val="0"/>
      <w:sz w:val="24"/>
      <w:szCs w:val="24"/>
    </w:rPr>
  </w:style>
  <w:style w:type="paragraph" w:customStyle="1" w:styleId="106">
    <w:name w:val="表格内容"/>
    <w:qFormat/>
    <w:uiPriority w:val="99"/>
    <w:pPr>
      <w:overflowPunct w:val="0"/>
      <w:adjustRightInd w:val="0"/>
      <w:snapToGrid w:val="0"/>
      <w:spacing w:line="288" w:lineRule="auto"/>
    </w:pPr>
    <w:rPr>
      <w:rFonts w:ascii="宋体" w:hAnsi="Arial" w:eastAsia="宋体" w:cs="Times New Roman"/>
      <w:sz w:val="24"/>
      <w:lang w:val="en-US" w:eastAsia="zh-CN" w:bidi="ar-SA"/>
    </w:rPr>
  </w:style>
  <w:style w:type="table" w:customStyle="1" w:styleId="107">
    <w:name w:val="网格型1"/>
    <w:basedOn w:val="34"/>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08">
    <w:name w:val="网格型2"/>
    <w:basedOn w:val="34"/>
    <w:qFormat/>
    <w:uiPriority w:val="0"/>
    <w:rPr>
      <w:rFonts w:ascii="Times New Roman" w:hAnsi="Times New Roman"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09">
    <w:name w:val="TOC Heading"/>
    <w:basedOn w:val="2"/>
    <w:next w:val="1"/>
    <w:unhideWhenUsed/>
    <w:qFormat/>
    <w:uiPriority w:val="39"/>
    <w:pPr>
      <w:pageBreakBefore w:val="0"/>
      <w:spacing w:before="340" w:beforeLines="0" w:after="330" w:afterLines="0" w:line="578" w:lineRule="auto"/>
      <w:jc w:val="both"/>
      <w:outlineLvl w:val="9"/>
    </w:pPr>
    <w:rPr>
      <w:bCs/>
      <w:spacing w:val="4"/>
      <w:szCs w:val="44"/>
    </w:rPr>
  </w:style>
  <w:style w:type="table" w:customStyle="1" w:styleId="110">
    <w:name w:val="Grid Table 2 Accent 5"/>
    <w:basedOn w:val="34"/>
    <w:qFormat/>
    <w:uiPriority w:val="47"/>
    <w:rPr>
      <w:rFonts w:ascii="Times New Roman" w:hAnsi="Times New Roman" w:eastAsia="宋体" w:cs="Times New Roman"/>
    </w:rPr>
    <w:tblPr>
      <w:tblBorders>
        <w:top w:val="single" w:color="9CC2E5" w:sz="2" w:space="0"/>
        <w:bottom w:val="single" w:color="9CC2E5" w:sz="2" w:space="0"/>
        <w:insideH w:val="single" w:color="9CC2E5" w:sz="2" w:space="0"/>
        <w:insideV w:val="single" w:color="9CC2E5" w:sz="2" w:space="0"/>
      </w:tblBorders>
    </w:tblPr>
    <w:tblStylePr w:type="firstRow">
      <w:rPr>
        <w:b/>
        <w:bCs/>
      </w:rPr>
      <w:tcPr>
        <w:tcBorders>
          <w:top w:val="nil"/>
          <w:bottom w:val="single" w:color="9CC2E5" w:sz="12" w:space="0"/>
          <w:insideH w:val="nil"/>
          <w:insideV w:val="nil"/>
        </w:tcBorders>
        <w:shd w:val="clear" w:color="auto" w:fill="FFFFFF"/>
      </w:tcPr>
    </w:tblStylePr>
    <w:tblStylePr w:type="lastRow">
      <w:rPr>
        <w:b/>
        <w:bCs/>
      </w:rPr>
      <w:tcPr>
        <w:tcBorders>
          <w:top w:val="double" w:color="9CC2E5" w:sz="2" w:space="0"/>
          <w:bottom w:val="nil"/>
          <w:insideH w:val="nil"/>
          <w:insideV w:val="nil"/>
        </w:tcBorders>
        <w:shd w:val="clear" w:color="auto" w:fill="FFFFFF"/>
      </w:tcPr>
    </w:tblStylePr>
    <w:tblStylePr w:type="firstCol">
      <w:rPr>
        <w:b/>
        <w:bCs/>
      </w:rPr>
    </w:tblStylePr>
    <w:tblStylePr w:type="lastCol">
      <w:rPr>
        <w:b/>
        <w:bCs/>
      </w:rPr>
    </w:tblStylePr>
    <w:tblStylePr w:type="band1Vert">
      <w:tcPr>
        <w:shd w:val="clear" w:color="auto" w:fill="DEEAF6"/>
      </w:tcPr>
    </w:tblStylePr>
    <w:tblStylePr w:type="band1Horz">
      <w:tcPr>
        <w:shd w:val="clear" w:color="auto" w:fill="DEEAF6"/>
      </w:tcPr>
    </w:tblStylePr>
  </w:style>
  <w:style w:type="character" w:customStyle="1" w:styleId="111">
    <w:name w:val="批注文字 字符"/>
    <w:basedOn w:val="38"/>
    <w:link w:val="14"/>
    <w:semiHidden/>
    <w:qFormat/>
    <w:uiPriority w:val="99"/>
    <w:rPr>
      <w:rFonts w:ascii="宋体" w:hAnsi="Times New Roman" w:eastAsia="仿宋" w:cs="Times New Roman"/>
      <w:snapToGrid w:val="0"/>
      <w:spacing w:val="4"/>
      <w:sz w:val="28"/>
      <w:szCs w:val="24"/>
    </w:rPr>
  </w:style>
  <w:style w:type="character" w:customStyle="1" w:styleId="112">
    <w:name w:val="批注主题 字符"/>
    <w:basedOn w:val="111"/>
    <w:link w:val="32"/>
    <w:semiHidden/>
    <w:qFormat/>
    <w:uiPriority w:val="99"/>
    <w:rPr>
      <w:rFonts w:ascii="宋体" w:hAnsi="Times New Roman" w:eastAsia="仿宋" w:cs="Times New Roman"/>
      <w:b/>
      <w:bCs/>
      <w:snapToGrid w:val="0"/>
      <w:spacing w:val="4"/>
      <w:sz w:val="28"/>
      <w:szCs w:val="24"/>
    </w:rPr>
  </w:style>
  <w:style w:type="character" w:customStyle="1" w:styleId="113">
    <w:name w:val="批注框文本 字符"/>
    <w:basedOn w:val="38"/>
    <w:link w:val="21"/>
    <w:semiHidden/>
    <w:qFormat/>
    <w:uiPriority w:val="99"/>
    <w:rPr>
      <w:rFonts w:ascii="宋体" w:hAnsi="Times New Roman" w:eastAsia="仿宋" w:cs="Times New Roman"/>
      <w:snapToGrid w:val="0"/>
      <w:spacing w:val="4"/>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7A76-935A-4433-A14C-FDC356712A9F}">
  <ds:schemaRefs/>
</ds:datastoreItem>
</file>

<file path=docProps/app.xml><?xml version="1.0" encoding="utf-8"?>
<Properties xmlns="http://schemas.openxmlformats.org/officeDocument/2006/extended-properties" xmlns:vt="http://schemas.openxmlformats.org/officeDocument/2006/docPropsVTypes">
  <Template>Normal</Template>
  <Pages>44</Pages>
  <Words>22106</Words>
  <Characters>23467</Characters>
  <Lines>198</Lines>
  <Paragraphs>55</Paragraphs>
  <TotalTime>1</TotalTime>
  <ScaleCrop>false</ScaleCrop>
  <LinksUpToDate>false</LinksUpToDate>
  <CharactersWithSpaces>24545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2021-09-12T16:29:00Z</dcterms:created>
  <dc:creator>张 公</dc:creator>
  <cp:lastModifiedBy>我是潇仪</cp:lastModifiedBy>
  <cp:lastPrinted>2023-04-18T10:19:00Z</cp:lastPrinted>
  <dcterms:modified xsi:type="dcterms:W3CDTF">2023-04-18T11:07:01Z</dcterms:modified>
  <cp:revision>70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ACCB3FA8C10B429EB3007BB9BA37E644</vt:lpwstr>
  </property>
</Properties>
</file>